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contextualSpacing/>
        <w:jc w:val="center"/>
        <w:rPr>
          <w:rFonts w:ascii="方正小标宋简体" w:eastAsia="方正小标宋简体"/>
          <w:bCs/>
          <w:sz w:val="44"/>
          <w:szCs w:val="44"/>
        </w:rPr>
      </w:pPr>
      <w:r>
        <w:rPr>
          <w:rFonts w:hint="eastAsia" w:ascii="方正小标宋简体" w:eastAsia="方正小标宋简体"/>
          <w:bCs/>
          <w:sz w:val="44"/>
          <w:szCs w:val="44"/>
        </w:rPr>
        <w:t>赤峰市矿产资源总体规划</w:t>
      </w:r>
    </w:p>
    <w:p>
      <w:pPr>
        <w:spacing w:line="560" w:lineRule="exact"/>
        <w:contextualSpacing/>
        <w:jc w:val="center"/>
        <w:rPr>
          <w:rFonts w:ascii="方正小标宋简体" w:eastAsia="方正小标宋简体"/>
          <w:bCs/>
          <w:sz w:val="44"/>
          <w:szCs w:val="44"/>
        </w:rPr>
      </w:pPr>
      <w:r>
        <w:rPr>
          <w:rFonts w:hint="eastAsia" w:ascii="方正小标宋简体" w:eastAsia="方正小标宋简体"/>
          <w:bCs/>
          <w:sz w:val="44"/>
          <w:szCs w:val="44"/>
        </w:rPr>
        <w:t>（</w:t>
      </w:r>
      <w:r>
        <w:rPr>
          <w:rFonts w:ascii="方正小标宋简体" w:eastAsia="方正小标宋简体"/>
          <w:bCs/>
          <w:sz w:val="44"/>
          <w:szCs w:val="44"/>
        </w:rPr>
        <w:t>2021-2025年）</w:t>
      </w:r>
    </w:p>
    <w:p>
      <w:pPr>
        <w:spacing w:line="560" w:lineRule="exact"/>
        <w:contextualSpacing/>
        <w:jc w:val="center"/>
        <w:rPr>
          <w:rFonts w:ascii="仿宋_GB2312" w:eastAsia="仿宋_GB2312"/>
          <w:bCs/>
          <w:sz w:val="36"/>
          <w:szCs w:val="16"/>
        </w:rPr>
      </w:pPr>
    </w:p>
    <w:p>
      <w:pPr>
        <w:tabs>
          <w:tab w:val="left" w:pos="6660"/>
        </w:tabs>
        <w:spacing w:line="560" w:lineRule="exact"/>
        <w:ind w:firstLine="640"/>
        <w:contextualSpacing/>
        <w:rPr>
          <w:rFonts w:ascii="仿宋_GB2312" w:eastAsia="仿宋_GB2312"/>
          <w:bCs/>
        </w:rPr>
      </w:pPr>
      <w:r>
        <w:rPr>
          <w:rFonts w:ascii="仿宋_GB2312" w:eastAsia="仿宋_GB2312"/>
          <w:bCs/>
        </w:rPr>
        <w:tab/>
      </w:r>
    </w:p>
    <w:p>
      <w:pPr>
        <w:spacing w:line="560" w:lineRule="exact"/>
        <w:ind w:firstLine="640"/>
        <w:contextualSpacing/>
        <w:rPr>
          <w:rFonts w:ascii="仿宋_GB2312" w:eastAsia="仿宋_GB2312"/>
          <w:bCs/>
        </w:rPr>
      </w:pPr>
    </w:p>
    <w:p>
      <w:pPr>
        <w:spacing w:line="560" w:lineRule="exact"/>
        <w:ind w:firstLine="640"/>
        <w:contextualSpacing/>
        <w:rPr>
          <w:rFonts w:ascii="仿宋_GB2312" w:eastAsia="仿宋_GB2312"/>
        </w:rPr>
      </w:pPr>
    </w:p>
    <w:p>
      <w:pPr>
        <w:spacing w:line="560" w:lineRule="exact"/>
        <w:ind w:firstLine="640"/>
        <w:contextualSpacing/>
        <w:rPr>
          <w:rFonts w:ascii="仿宋_GB2312" w:eastAsia="仿宋_GB2312"/>
        </w:rPr>
      </w:pPr>
    </w:p>
    <w:p>
      <w:pPr>
        <w:spacing w:line="560" w:lineRule="exact"/>
        <w:ind w:firstLine="640"/>
        <w:contextualSpacing/>
        <w:rPr>
          <w:rFonts w:ascii="仿宋_GB2312" w:eastAsia="仿宋_GB2312"/>
        </w:rPr>
      </w:pPr>
    </w:p>
    <w:p>
      <w:pPr>
        <w:spacing w:line="560" w:lineRule="exact"/>
        <w:ind w:firstLine="640"/>
        <w:contextualSpacing/>
        <w:rPr>
          <w:rFonts w:ascii="仿宋_GB2312" w:eastAsia="仿宋_GB2312"/>
        </w:rPr>
      </w:pPr>
    </w:p>
    <w:p>
      <w:pPr>
        <w:spacing w:line="560" w:lineRule="exact"/>
        <w:ind w:firstLine="640"/>
        <w:contextualSpacing/>
        <w:rPr>
          <w:rFonts w:ascii="仿宋_GB2312" w:eastAsia="仿宋_GB2312"/>
        </w:rPr>
      </w:pPr>
    </w:p>
    <w:p>
      <w:pPr>
        <w:spacing w:line="560" w:lineRule="exact"/>
        <w:ind w:firstLine="640"/>
        <w:contextualSpacing/>
        <w:rPr>
          <w:rFonts w:ascii="仿宋_GB2312" w:eastAsia="仿宋_GB2312"/>
        </w:rPr>
      </w:pPr>
    </w:p>
    <w:p>
      <w:pPr>
        <w:spacing w:line="560" w:lineRule="exact"/>
        <w:ind w:firstLine="640"/>
        <w:contextualSpacing/>
        <w:rPr>
          <w:rFonts w:ascii="仿宋_GB2312" w:eastAsia="仿宋_GB2312"/>
        </w:rPr>
      </w:pPr>
    </w:p>
    <w:p>
      <w:pPr>
        <w:spacing w:line="560" w:lineRule="exact"/>
        <w:ind w:firstLine="640"/>
        <w:contextualSpacing/>
        <w:rPr>
          <w:rFonts w:ascii="仿宋_GB2312" w:eastAsia="仿宋_GB2312"/>
          <w:sz w:val="32"/>
          <w:szCs w:val="32"/>
        </w:rPr>
      </w:pPr>
    </w:p>
    <w:p>
      <w:pPr>
        <w:spacing w:line="560" w:lineRule="exact"/>
        <w:contextualSpacing/>
        <w:jc w:val="center"/>
        <w:rPr>
          <w:rFonts w:ascii="仿宋_GB2312" w:eastAsia="仿宋_GB2312"/>
          <w:bCs/>
          <w:sz w:val="32"/>
          <w:szCs w:val="32"/>
        </w:rPr>
      </w:pPr>
    </w:p>
    <w:p>
      <w:pPr>
        <w:spacing w:line="560" w:lineRule="exact"/>
        <w:contextualSpacing/>
        <w:jc w:val="center"/>
        <w:rPr>
          <w:rFonts w:ascii="仿宋_GB2312" w:eastAsia="仿宋_GB2312"/>
          <w:bCs/>
          <w:sz w:val="32"/>
          <w:szCs w:val="32"/>
        </w:rPr>
      </w:pPr>
    </w:p>
    <w:p>
      <w:pPr>
        <w:spacing w:line="560" w:lineRule="exact"/>
        <w:contextualSpacing/>
        <w:jc w:val="center"/>
        <w:rPr>
          <w:rFonts w:ascii="黑体" w:hAnsi="黑体" w:eastAsia="黑体"/>
          <w:sz w:val="32"/>
          <w:szCs w:val="32"/>
        </w:rPr>
      </w:pPr>
      <w:r>
        <w:rPr>
          <w:rFonts w:ascii="黑体" w:hAnsi="黑体" w:eastAsia="黑体"/>
          <w:sz w:val="32"/>
          <w:szCs w:val="32"/>
        </w:rPr>
        <w:t>2022</w:t>
      </w:r>
      <w:r>
        <w:rPr>
          <w:rFonts w:hint="eastAsia" w:ascii="黑体" w:hAnsi="黑体" w:eastAsia="黑体" w:cs="仿宋_GB2312"/>
          <w:sz w:val="32"/>
          <w:szCs w:val="32"/>
        </w:rPr>
        <w:t>年</w:t>
      </w:r>
      <w:r>
        <w:rPr>
          <w:rFonts w:ascii="黑体" w:hAnsi="黑体" w:eastAsia="黑体"/>
          <w:sz w:val="32"/>
          <w:szCs w:val="32"/>
        </w:rPr>
        <w:t>7</w:t>
      </w:r>
      <w:r>
        <w:rPr>
          <w:rFonts w:hint="eastAsia" w:ascii="黑体" w:hAnsi="黑体" w:eastAsia="黑体"/>
          <w:sz w:val="32"/>
          <w:szCs w:val="32"/>
        </w:rPr>
        <w:t>月</w:t>
      </w:r>
    </w:p>
    <w:p>
      <w:pPr>
        <w:pStyle w:val="2"/>
        <w:contextualSpacing/>
        <w:rPr>
          <w:rFonts w:ascii="楷体_GB2312" w:hAnsi="黑体" w:eastAsia="楷体_GB2312"/>
          <w:szCs w:val="32"/>
        </w:rPr>
      </w:pPr>
      <w:r>
        <w:rPr>
          <w:rFonts w:ascii="仿宋_GB2312" w:hAnsi="仿宋" w:eastAsia="仿宋_GB2312"/>
          <w:szCs w:val="32"/>
        </w:rPr>
        <w:br w:type="page"/>
      </w:r>
      <w:r>
        <w:rPr>
          <w:rFonts w:hint="eastAsia" w:ascii="黑体" w:hAnsi="黑体"/>
          <w:szCs w:val="32"/>
        </w:rPr>
        <w:t>目</w:t>
      </w:r>
      <w:r>
        <w:rPr>
          <w:rFonts w:ascii="黑体" w:hAnsi="黑体"/>
          <w:szCs w:val="32"/>
        </w:rPr>
        <w:t xml:space="preserve"> </w:t>
      </w:r>
      <w:r>
        <w:rPr>
          <w:rFonts w:hint="eastAsia" w:ascii="黑体" w:hAnsi="黑体"/>
          <w:szCs w:val="32"/>
        </w:rPr>
        <w:t>录</w:t>
      </w:r>
      <w:r>
        <w:rPr>
          <w:rFonts w:hint="eastAsia" w:ascii="楷体_GB2312" w:hAnsi="黑体" w:eastAsia="楷体_GB2312"/>
          <w:szCs w:val="32"/>
        </w:rPr>
        <w:fldChar w:fldCharType="begin"/>
      </w:r>
      <w:r>
        <w:rPr>
          <w:rFonts w:ascii="楷体_GB2312" w:hAnsi="黑体" w:eastAsia="楷体_GB2312"/>
          <w:szCs w:val="32"/>
        </w:rPr>
        <w:instrText xml:space="preserve"> TOC \o "1-2" \h \z \u </w:instrText>
      </w:r>
      <w:r>
        <w:rPr>
          <w:rFonts w:hint="eastAsia" w:ascii="楷体_GB2312" w:hAnsi="黑体" w:eastAsia="楷体_GB2312"/>
          <w:szCs w:val="32"/>
        </w:rPr>
        <w:fldChar w:fldCharType="separate"/>
      </w:r>
    </w:p>
    <w:p>
      <w:pPr>
        <w:pStyle w:val="8"/>
        <w:tabs>
          <w:tab w:val="right" w:leader="dot" w:pos="8296"/>
        </w:tabs>
        <w:spacing w:before="0" w:after="0" w:line="560" w:lineRule="exact"/>
        <w:ind w:firstLine="643"/>
        <w:contextualSpacing/>
        <w:rPr>
          <w:rFonts w:ascii="楷体_GB2312" w:hAnsi="黑体" w:eastAsia="楷体_GB2312" w:cs="Times New Roman"/>
          <w:b w:val="0"/>
          <w:bCs w:val="0"/>
          <w:caps w:val="0"/>
          <w:color w:val="auto"/>
          <w:sz w:val="32"/>
          <w:szCs w:val="32"/>
        </w:rPr>
      </w:pPr>
      <w:r>
        <w:rPr>
          <w:sz w:val="32"/>
          <w:szCs w:val="32"/>
        </w:rPr>
        <w:fldChar w:fldCharType="begin"/>
      </w:r>
      <w:r>
        <w:rPr>
          <w:sz w:val="32"/>
          <w:szCs w:val="32"/>
        </w:rPr>
        <w:instrText xml:space="preserve"> HYPERLINK \l "_Toc106610309" </w:instrText>
      </w:r>
      <w:r>
        <w:rPr>
          <w:sz w:val="32"/>
          <w:szCs w:val="32"/>
        </w:rPr>
        <w:fldChar w:fldCharType="separate"/>
      </w:r>
      <w:r>
        <w:rPr>
          <w:rStyle w:val="12"/>
          <w:rFonts w:hint="eastAsia" w:ascii="黑体" w:hAnsi="黑体" w:eastAsia="黑体"/>
          <w:b w:val="0"/>
          <w:sz w:val="32"/>
          <w:szCs w:val="32"/>
        </w:rPr>
        <w:t>总</w:t>
      </w:r>
      <w:r>
        <w:rPr>
          <w:rStyle w:val="12"/>
          <w:rFonts w:ascii="黑体" w:hAnsi="黑体" w:eastAsia="黑体"/>
          <w:b w:val="0"/>
          <w:sz w:val="32"/>
          <w:szCs w:val="32"/>
        </w:rPr>
        <w:t xml:space="preserve"> </w:t>
      </w:r>
      <w:r>
        <w:rPr>
          <w:rStyle w:val="12"/>
          <w:rFonts w:hint="eastAsia" w:ascii="黑体" w:hAnsi="黑体" w:eastAsia="黑体"/>
          <w:b w:val="0"/>
          <w:sz w:val="32"/>
          <w:szCs w:val="32"/>
        </w:rPr>
        <w:t>则</w:t>
      </w:r>
      <w:r>
        <w:rPr>
          <w:rFonts w:ascii="楷体_GB2312" w:hAnsi="黑体" w:eastAsia="楷体_GB2312"/>
          <w:b w:val="0"/>
          <w:sz w:val="32"/>
          <w:szCs w:val="32"/>
        </w:rPr>
        <w:tab/>
      </w:r>
      <w:r>
        <w:rPr>
          <w:rFonts w:hint="eastAsia" w:ascii="楷体_GB2312" w:hAnsi="黑体" w:eastAsia="楷体_GB2312"/>
          <w:b w:val="0"/>
          <w:sz w:val="32"/>
          <w:szCs w:val="32"/>
        </w:rPr>
        <w:fldChar w:fldCharType="begin"/>
      </w:r>
      <w:r>
        <w:rPr>
          <w:rFonts w:ascii="楷体_GB2312" w:hAnsi="黑体" w:eastAsia="楷体_GB2312"/>
          <w:b w:val="0"/>
          <w:sz w:val="32"/>
          <w:szCs w:val="32"/>
        </w:rPr>
        <w:instrText xml:space="preserve"> PAGEREF _Toc106610309 \h </w:instrText>
      </w:r>
      <w:r>
        <w:rPr>
          <w:rFonts w:hint="eastAsia" w:ascii="楷体_GB2312" w:hAnsi="黑体" w:eastAsia="楷体_GB2312"/>
          <w:b w:val="0"/>
          <w:sz w:val="32"/>
          <w:szCs w:val="32"/>
        </w:rPr>
        <w:fldChar w:fldCharType="separate"/>
      </w:r>
      <w:r>
        <w:rPr>
          <w:rFonts w:ascii="楷体_GB2312" w:hAnsi="黑体" w:eastAsia="楷体_GB2312"/>
          <w:b w:val="0"/>
          <w:sz w:val="32"/>
          <w:szCs w:val="32"/>
        </w:rPr>
        <w:t>5</w:t>
      </w:r>
      <w:r>
        <w:rPr>
          <w:rFonts w:hint="eastAsia" w:ascii="楷体_GB2312" w:hAnsi="黑体" w:eastAsia="楷体_GB2312"/>
          <w:b w:val="0"/>
          <w:sz w:val="32"/>
          <w:szCs w:val="32"/>
        </w:rPr>
        <w:fldChar w:fldCharType="end"/>
      </w:r>
      <w:r>
        <w:rPr>
          <w:rFonts w:ascii="楷体_GB2312" w:hAnsi="黑体" w:eastAsia="楷体_GB2312"/>
          <w:b w:val="0"/>
          <w:sz w:val="32"/>
          <w:szCs w:val="32"/>
        </w:rPr>
        <w:fldChar w:fldCharType="end"/>
      </w:r>
    </w:p>
    <w:p>
      <w:pPr>
        <w:pStyle w:val="8"/>
        <w:tabs>
          <w:tab w:val="right" w:leader="dot" w:pos="8296"/>
        </w:tabs>
        <w:spacing w:before="0" w:after="0" w:line="560" w:lineRule="exact"/>
        <w:ind w:firstLine="643"/>
        <w:contextualSpacing/>
        <w:rPr>
          <w:rFonts w:ascii="楷体_GB2312" w:hAnsi="黑体" w:eastAsia="楷体_GB2312" w:cs="Times New Roman"/>
          <w:b w:val="0"/>
          <w:bCs w:val="0"/>
          <w:caps w:val="0"/>
          <w:color w:val="auto"/>
          <w:sz w:val="32"/>
          <w:szCs w:val="32"/>
        </w:rPr>
      </w:pPr>
      <w:r>
        <w:rPr>
          <w:sz w:val="32"/>
          <w:szCs w:val="32"/>
        </w:rPr>
        <w:fldChar w:fldCharType="begin"/>
      </w:r>
      <w:r>
        <w:rPr>
          <w:sz w:val="32"/>
          <w:szCs w:val="32"/>
        </w:rPr>
        <w:instrText xml:space="preserve"> HYPERLINK \l "_Toc106610310" </w:instrText>
      </w:r>
      <w:r>
        <w:rPr>
          <w:sz w:val="32"/>
          <w:szCs w:val="32"/>
        </w:rPr>
        <w:fldChar w:fldCharType="separate"/>
      </w:r>
      <w:r>
        <w:rPr>
          <w:rStyle w:val="12"/>
          <w:rFonts w:hint="eastAsia" w:ascii="黑体" w:hAnsi="黑体" w:eastAsia="黑体"/>
          <w:b w:val="0"/>
          <w:sz w:val="32"/>
          <w:szCs w:val="32"/>
        </w:rPr>
        <w:t>第一章</w:t>
      </w:r>
      <w:r>
        <w:rPr>
          <w:rStyle w:val="12"/>
          <w:rFonts w:ascii="黑体" w:hAnsi="黑体" w:eastAsia="黑体"/>
          <w:b w:val="0"/>
          <w:sz w:val="32"/>
          <w:szCs w:val="32"/>
        </w:rPr>
        <w:t xml:space="preserve"> </w:t>
      </w:r>
      <w:r>
        <w:rPr>
          <w:rStyle w:val="12"/>
          <w:rFonts w:hint="eastAsia" w:ascii="黑体" w:hAnsi="黑体" w:eastAsia="黑体"/>
          <w:b w:val="0"/>
          <w:sz w:val="32"/>
          <w:szCs w:val="32"/>
        </w:rPr>
        <w:t>现状与形势</w:t>
      </w:r>
      <w:r>
        <w:rPr>
          <w:rFonts w:ascii="楷体_GB2312" w:hAnsi="黑体" w:eastAsia="楷体_GB2312"/>
          <w:b w:val="0"/>
          <w:sz w:val="32"/>
          <w:szCs w:val="32"/>
        </w:rPr>
        <w:tab/>
      </w:r>
      <w:r>
        <w:rPr>
          <w:rFonts w:hint="eastAsia" w:ascii="楷体_GB2312" w:hAnsi="黑体" w:eastAsia="楷体_GB2312"/>
          <w:b w:val="0"/>
          <w:sz w:val="32"/>
          <w:szCs w:val="32"/>
        </w:rPr>
        <w:fldChar w:fldCharType="begin"/>
      </w:r>
      <w:r>
        <w:rPr>
          <w:rFonts w:ascii="楷体_GB2312" w:hAnsi="黑体" w:eastAsia="楷体_GB2312"/>
          <w:b w:val="0"/>
          <w:sz w:val="32"/>
          <w:szCs w:val="32"/>
        </w:rPr>
        <w:instrText xml:space="preserve"> PAGEREF _Toc106610310 \h </w:instrText>
      </w:r>
      <w:r>
        <w:rPr>
          <w:rFonts w:hint="eastAsia" w:ascii="楷体_GB2312" w:hAnsi="黑体" w:eastAsia="楷体_GB2312"/>
          <w:b w:val="0"/>
          <w:sz w:val="32"/>
          <w:szCs w:val="32"/>
        </w:rPr>
        <w:fldChar w:fldCharType="separate"/>
      </w:r>
      <w:r>
        <w:rPr>
          <w:rFonts w:ascii="楷体_GB2312" w:hAnsi="黑体" w:eastAsia="楷体_GB2312"/>
          <w:b w:val="0"/>
          <w:sz w:val="32"/>
          <w:szCs w:val="32"/>
        </w:rPr>
        <w:t>6</w:t>
      </w:r>
      <w:r>
        <w:rPr>
          <w:rFonts w:hint="eastAsia" w:ascii="楷体_GB2312" w:hAnsi="黑体" w:eastAsia="楷体_GB2312"/>
          <w:b w:val="0"/>
          <w:sz w:val="32"/>
          <w:szCs w:val="32"/>
        </w:rPr>
        <w:fldChar w:fldCharType="end"/>
      </w:r>
      <w:r>
        <w:rPr>
          <w:rFonts w:ascii="楷体_GB2312" w:hAnsi="黑体" w:eastAsia="楷体_GB2312"/>
          <w:b w:val="0"/>
          <w:sz w:val="32"/>
          <w:szCs w:val="32"/>
        </w:rPr>
        <w:fldChar w:fldCharType="end"/>
      </w:r>
    </w:p>
    <w:p>
      <w:pPr>
        <w:pStyle w:val="9"/>
        <w:tabs>
          <w:tab w:val="right" w:leader="dot" w:pos="8296"/>
        </w:tabs>
        <w:spacing w:line="560" w:lineRule="exact"/>
        <w:ind w:firstLine="640"/>
        <w:contextualSpacing/>
        <w:rPr>
          <w:rFonts w:ascii="楷体_GB2312" w:hAnsi="黑体" w:eastAsia="楷体_GB2312" w:cs="Times New Roman"/>
          <w:smallCaps w:val="0"/>
          <w:color w:val="auto"/>
          <w:sz w:val="32"/>
          <w:szCs w:val="32"/>
        </w:rPr>
      </w:pPr>
      <w:r>
        <w:rPr>
          <w:sz w:val="32"/>
          <w:szCs w:val="32"/>
        </w:rPr>
        <w:fldChar w:fldCharType="begin"/>
      </w:r>
      <w:r>
        <w:rPr>
          <w:sz w:val="32"/>
          <w:szCs w:val="32"/>
        </w:rPr>
        <w:instrText xml:space="preserve"> HYPERLINK \l "_Toc106610311" </w:instrText>
      </w:r>
      <w:r>
        <w:rPr>
          <w:sz w:val="32"/>
          <w:szCs w:val="32"/>
        </w:rPr>
        <w:fldChar w:fldCharType="separate"/>
      </w:r>
      <w:r>
        <w:rPr>
          <w:rStyle w:val="12"/>
          <w:rFonts w:hint="eastAsia" w:ascii="楷体_GB2312" w:hAnsi="黑体" w:eastAsia="楷体_GB2312"/>
          <w:sz w:val="32"/>
          <w:szCs w:val="32"/>
        </w:rPr>
        <w:t>第一节</w:t>
      </w:r>
      <w:r>
        <w:rPr>
          <w:rStyle w:val="12"/>
          <w:rFonts w:ascii="楷体_GB2312" w:hAnsi="黑体" w:eastAsia="楷体_GB2312"/>
          <w:sz w:val="32"/>
          <w:szCs w:val="32"/>
        </w:rPr>
        <w:t xml:space="preserve"> </w:t>
      </w:r>
      <w:r>
        <w:rPr>
          <w:rStyle w:val="12"/>
          <w:rFonts w:hint="eastAsia" w:ascii="楷体_GB2312" w:hAnsi="黑体" w:eastAsia="楷体_GB2312"/>
          <w:sz w:val="32"/>
          <w:szCs w:val="32"/>
        </w:rPr>
        <w:t>矿产资源概况及开发利用现状</w:t>
      </w:r>
      <w:r>
        <w:rPr>
          <w:rFonts w:ascii="楷体_GB2312" w:hAnsi="黑体" w:eastAsia="楷体_GB2312"/>
          <w:sz w:val="32"/>
          <w:szCs w:val="32"/>
        </w:rPr>
        <w:tab/>
      </w:r>
      <w:r>
        <w:rPr>
          <w:rFonts w:hint="eastAsia" w:ascii="楷体_GB2312" w:hAnsi="黑体" w:eastAsia="楷体_GB2312"/>
          <w:sz w:val="32"/>
          <w:szCs w:val="32"/>
        </w:rPr>
        <w:fldChar w:fldCharType="begin"/>
      </w:r>
      <w:r>
        <w:rPr>
          <w:rFonts w:ascii="楷体_GB2312" w:hAnsi="黑体" w:eastAsia="楷体_GB2312"/>
          <w:sz w:val="32"/>
          <w:szCs w:val="32"/>
        </w:rPr>
        <w:instrText xml:space="preserve"> PAGEREF _Toc106610311 \h </w:instrText>
      </w:r>
      <w:r>
        <w:rPr>
          <w:rFonts w:hint="eastAsia" w:ascii="楷体_GB2312" w:hAnsi="黑体" w:eastAsia="楷体_GB2312"/>
          <w:sz w:val="32"/>
          <w:szCs w:val="32"/>
        </w:rPr>
        <w:fldChar w:fldCharType="separate"/>
      </w:r>
      <w:r>
        <w:rPr>
          <w:rFonts w:ascii="楷体_GB2312" w:hAnsi="黑体" w:eastAsia="楷体_GB2312"/>
          <w:sz w:val="32"/>
          <w:szCs w:val="32"/>
        </w:rPr>
        <w:t>6</w:t>
      </w:r>
      <w:r>
        <w:rPr>
          <w:rFonts w:hint="eastAsia" w:ascii="楷体_GB2312" w:hAnsi="黑体" w:eastAsia="楷体_GB2312"/>
          <w:sz w:val="32"/>
          <w:szCs w:val="32"/>
        </w:rPr>
        <w:fldChar w:fldCharType="end"/>
      </w:r>
      <w:r>
        <w:rPr>
          <w:rFonts w:ascii="楷体_GB2312" w:hAnsi="黑体" w:eastAsia="楷体_GB2312"/>
          <w:sz w:val="32"/>
          <w:szCs w:val="32"/>
        </w:rPr>
        <w:fldChar w:fldCharType="end"/>
      </w:r>
    </w:p>
    <w:p>
      <w:pPr>
        <w:pStyle w:val="9"/>
        <w:tabs>
          <w:tab w:val="right" w:leader="dot" w:pos="8296"/>
        </w:tabs>
        <w:spacing w:line="560" w:lineRule="exact"/>
        <w:ind w:firstLine="640"/>
        <w:contextualSpacing/>
        <w:rPr>
          <w:rFonts w:ascii="楷体_GB2312" w:hAnsi="黑体" w:eastAsia="楷体_GB2312" w:cs="Times New Roman"/>
          <w:smallCaps w:val="0"/>
          <w:color w:val="auto"/>
          <w:sz w:val="32"/>
          <w:szCs w:val="32"/>
        </w:rPr>
      </w:pPr>
      <w:r>
        <w:rPr>
          <w:sz w:val="32"/>
          <w:szCs w:val="32"/>
        </w:rPr>
        <w:fldChar w:fldCharType="begin"/>
      </w:r>
      <w:r>
        <w:rPr>
          <w:sz w:val="32"/>
          <w:szCs w:val="32"/>
        </w:rPr>
        <w:instrText xml:space="preserve"> HYPERLINK \l "_Toc106610312" </w:instrText>
      </w:r>
      <w:r>
        <w:rPr>
          <w:sz w:val="32"/>
          <w:szCs w:val="32"/>
        </w:rPr>
        <w:fldChar w:fldCharType="separate"/>
      </w:r>
      <w:r>
        <w:rPr>
          <w:rStyle w:val="12"/>
          <w:rFonts w:hint="eastAsia" w:ascii="楷体_GB2312" w:hAnsi="黑体" w:eastAsia="楷体_GB2312"/>
          <w:sz w:val="32"/>
          <w:szCs w:val="32"/>
        </w:rPr>
        <w:t>第二节</w:t>
      </w:r>
      <w:r>
        <w:rPr>
          <w:rStyle w:val="12"/>
          <w:rFonts w:ascii="楷体_GB2312" w:hAnsi="黑体" w:eastAsia="楷体_GB2312"/>
          <w:sz w:val="32"/>
          <w:szCs w:val="32"/>
        </w:rPr>
        <w:t xml:space="preserve"> </w:t>
      </w:r>
      <w:r>
        <w:rPr>
          <w:rStyle w:val="12"/>
          <w:rFonts w:hint="eastAsia" w:ascii="楷体_GB2312" w:hAnsi="黑体" w:eastAsia="楷体_GB2312"/>
          <w:sz w:val="32"/>
          <w:szCs w:val="32"/>
        </w:rPr>
        <w:t>上轮规划实施成效</w:t>
      </w:r>
      <w:r>
        <w:rPr>
          <w:rFonts w:ascii="楷体_GB2312" w:hAnsi="黑体" w:eastAsia="楷体_GB2312"/>
          <w:sz w:val="32"/>
          <w:szCs w:val="32"/>
        </w:rPr>
        <w:tab/>
      </w:r>
      <w:r>
        <w:rPr>
          <w:rFonts w:hint="eastAsia" w:ascii="楷体_GB2312" w:hAnsi="黑体" w:eastAsia="楷体_GB2312"/>
          <w:sz w:val="32"/>
          <w:szCs w:val="32"/>
        </w:rPr>
        <w:fldChar w:fldCharType="begin"/>
      </w:r>
      <w:r>
        <w:rPr>
          <w:rFonts w:ascii="楷体_GB2312" w:hAnsi="黑体" w:eastAsia="楷体_GB2312"/>
          <w:sz w:val="32"/>
          <w:szCs w:val="32"/>
        </w:rPr>
        <w:instrText xml:space="preserve"> PAGEREF _Toc106610312 \h </w:instrText>
      </w:r>
      <w:r>
        <w:rPr>
          <w:rFonts w:hint="eastAsia" w:ascii="楷体_GB2312" w:hAnsi="黑体" w:eastAsia="楷体_GB2312"/>
          <w:sz w:val="32"/>
          <w:szCs w:val="32"/>
        </w:rPr>
        <w:fldChar w:fldCharType="separate"/>
      </w:r>
      <w:r>
        <w:rPr>
          <w:rFonts w:ascii="楷体_GB2312" w:hAnsi="黑体" w:eastAsia="楷体_GB2312"/>
          <w:sz w:val="32"/>
          <w:szCs w:val="32"/>
        </w:rPr>
        <w:t>8</w:t>
      </w:r>
      <w:r>
        <w:rPr>
          <w:rFonts w:hint="eastAsia" w:ascii="楷体_GB2312" w:hAnsi="黑体" w:eastAsia="楷体_GB2312"/>
          <w:sz w:val="32"/>
          <w:szCs w:val="32"/>
        </w:rPr>
        <w:fldChar w:fldCharType="end"/>
      </w:r>
      <w:r>
        <w:rPr>
          <w:rFonts w:ascii="楷体_GB2312" w:hAnsi="黑体" w:eastAsia="楷体_GB2312"/>
          <w:sz w:val="32"/>
          <w:szCs w:val="32"/>
        </w:rPr>
        <w:fldChar w:fldCharType="end"/>
      </w:r>
    </w:p>
    <w:p>
      <w:pPr>
        <w:pStyle w:val="9"/>
        <w:tabs>
          <w:tab w:val="right" w:leader="dot" w:pos="8296"/>
        </w:tabs>
        <w:spacing w:line="560" w:lineRule="exact"/>
        <w:ind w:firstLine="640"/>
        <w:contextualSpacing/>
        <w:rPr>
          <w:rFonts w:ascii="楷体_GB2312" w:hAnsi="黑体" w:eastAsia="楷体_GB2312" w:cs="Times New Roman"/>
          <w:smallCaps w:val="0"/>
          <w:color w:val="auto"/>
          <w:sz w:val="32"/>
          <w:szCs w:val="32"/>
        </w:rPr>
      </w:pPr>
      <w:r>
        <w:rPr>
          <w:sz w:val="32"/>
          <w:szCs w:val="32"/>
        </w:rPr>
        <w:fldChar w:fldCharType="begin"/>
      </w:r>
      <w:r>
        <w:rPr>
          <w:sz w:val="32"/>
          <w:szCs w:val="32"/>
        </w:rPr>
        <w:instrText xml:space="preserve"> HYPERLINK \l "_Toc106610313" </w:instrText>
      </w:r>
      <w:r>
        <w:rPr>
          <w:sz w:val="32"/>
          <w:szCs w:val="32"/>
        </w:rPr>
        <w:fldChar w:fldCharType="separate"/>
      </w:r>
      <w:r>
        <w:rPr>
          <w:rStyle w:val="12"/>
          <w:rFonts w:hint="eastAsia" w:ascii="楷体_GB2312" w:hAnsi="黑体" w:eastAsia="楷体_GB2312"/>
          <w:sz w:val="32"/>
          <w:szCs w:val="32"/>
        </w:rPr>
        <w:t>第三节</w:t>
      </w:r>
      <w:r>
        <w:rPr>
          <w:rStyle w:val="12"/>
          <w:rFonts w:ascii="楷体_GB2312" w:hAnsi="黑体" w:eastAsia="楷体_GB2312"/>
          <w:sz w:val="32"/>
          <w:szCs w:val="32"/>
        </w:rPr>
        <w:t xml:space="preserve"> </w:t>
      </w:r>
      <w:r>
        <w:rPr>
          <w:rStyle w:val="12"/>
          <w:rFonts w:hint="eastAsia" w:ascii="楷体_GB2312" w:hAnsi="黑体" w:eastAsia="楷体_GB2312"/>
          <w:sz w:val="32"/>
          <w:szCs w:val="32"/>
        </w:rPr>
        <w:t>形势与要求</w:t>
      </w:r>
      <w:r>
        <w:rPr>
          <w:rFonts w:ascii="楷体_GB2312" w:hAnsi="黑体" w:eastAsia="楷体_GB2312"/>
          <w:sz w:val="32"/>
          <w:szCs w:val="32"/>
        </w:rPr>
        <w:tab/>
      </w:r>
      <w:r>
        <w:rPr>
          <w:rFonts w:hint="eastAsia" w:ascii="楷体_GB2312" w:hAnsi="黑体" w:eastAsia="楷体_GB2312"/>
          <w:sz w:val="32"/>
          <w:szCs w:val="32"/>
        </w:rPr>
        <w:fldChar w:fldCharType="begin"/>
      </w:r>
      <w:r>
        <w:rPr>
          <w:rFonts w:ascii="楷体_GB2312" w:hAnsi="黑体" w:eastAsia="楷体_GB2312"/>
          <w:sz w:val="32"/>
          <w:szCs w:val="32"/>
        </w:rPr>
        <w:instrText xml:space="preserve"> PAGEREF _Toc106610313 \h </w:instrText>
      </w:r>
      <w:r>
        <w:rPr>
          <w:rFonts w:hint="eastAsia" w:ascii="楷体_GB2312" w:hAnsi="黑体" w:eastAsia="楷体_GB2312"/>
          <w:sz w:val="32"/>
          <w:szCs w:val="32"/>
        </w:rPr>
        <w:fldChar w:fldCharType="separate"/>
      </w:r>
      <w:r>
        <w:rPr>
          <w:rFonts w:ascii="楷体_GB2312" w:hAnsi="黑体" w:eastAsia="楷体_GB2312"/>
          <w:sz w:val="32"/>
          <w:szCs w:val="32"/>
        </w:rPr>
        <w:t>11</w:t>
      </w:r>
      <w:r>
        <w:rPr>
          <w:rFonts w:hint="eastAsia" w:ascii="楷体_GB2312" w:hAnsi="黑体" w:eastAsia="楷体_GB2312"/>
          <w:sz w:val="32"/>
          <w:szCs w:val="32"/>
        </w:rPr>
        <w:fldChar w:fldCharType="end"/>
      </w:r>
      <w:r>
        <w:rPr>
          <w:rFonts w:ascii="楷体_GB2312" w:hAnsi="黑体" w:eastAsia="楷体_GB2312"/>
          <w:sz w:val="32"/>
          <w:szCs w:val="32"/>
        </w:rPr>
        <w:fldChar w:fldCharType="end"/>
      </w:r>
    </w:p>
    <w:p>
      <w:pPr>
        <w:pStyle w:val="8"/>
        <w:tabs>
          <w:tab w:val="right" w:leader="dot" w:pos="8296"/>
        </w:tabs>
        <w:spacing w:before="0" w:after="0" w:line="560" w:lineRule="exact"/>
        <w:ind w:firstLine="643"/>
        <w:contextualSpacing/>
        <w:rPr>
          <w:rFonts w:ascii="楷体_GB2312" w:hAnsi="黑体" w:eastAsia="楷体_GB2312" w:cs="Times New Roman"/>
          <w:b w:val="0"/>
          <w:bCs w:val="0"/>
          <w:caps w:val="0"/>
          <w:color w:val="auto"/>
          <w:sz w:val="32"/>
          <w:szCs w:val="32"/>
        </w:rPr>
      </w:pPr>
      <w:r>
        <w:rPr>
          <w:sz w:val="32"/>
          <w:szCs w:val="32"/>
        </w:rPr>
        <w:fldChar w:fldCharType="begin"/>
      </w:r>
      <w:r>
        <w:rPr>
          <w:sz w:val="32"/>
          <w:szCs w:val="32"/>
        </w:rPr>
        <w:instrText xml:space="preserve"> HYPERLINK \l "_Toc106610314" </w:instrText>
      </w:r>
      <w:r>
        <w:rPr>
          <w:sz w:val="32"/>
          <w:szCs w:val="32"/>
        </w:rPr>
        <w:fldChar w:fldCharType="separate"/>
      </w:r>
      <w:r>
        <w:rPr>
          <w:rStyle w:val="12"/>
          <w:rFonts w:hint="eastAsia" w:ascii="黑体" w:hAnsi="黑体" w:eastAsia="黑体"/>
          <w:b w:val="0"/>
          <w:sz w:val="32"/>
          <w:szCs w:val="32"/>
        </w:rPr>
        <w:t>第二章</w:t>
      </w:r>
      <w:r>
        <w:rPr>
          <w:rStyle w:val="12"/>
          <w:rFonts w:ascii="黑体" w:hAnsi="黑体" w:eastAsia="黑体"/>
          <w:b w:val="0"/>
          <w:sz w:val="32"/>
          <w:szCs w:val="32"/>
        </w:rPr>
        <w:t xml:space="preserve"> </w:t>
      </w:r>
      <w:r>
        <w:rPr>
          <w:rStyle w:val="12"/>
          <w:rFonts w:hint="eastAsia" w:ascii="黑体" w:hAnsi="黑体" w:eastAsia="黑体"/>
          <w:b w:val="0"/>
          <w:sz w:val="32"/>
          <w:szCs w:val="32"/>
        </w:rPr>
        <w:t>指导原则与规划目标</w:t>
      </w:r>
      <w:r>
        <w:rPr>
          <w:rFonts w:ascii="楷体_GB2312" w:hAnsi="黑体" w:eastAsia="楷体_GB2312"/>
          <w:b w:val="0"/>
          <w:sz w:val="32"/>
          <w:szCs w:val="32"/>
        </w:rPr>
        <w:tab/>
      </w:r>
      <w:r>
        <w:rPr>
          <w:rFonts w:hint="eastAsia" w:ascii="楷体_GB2312" w:hAnsi="黑体" w:eastAsia="楷体_GB2312"/>
          <w:b w:val="0"/>
          <w:sz w:val="32"/>
          <w:szCs w:val="32"/>
        </w:rPr>
        <w:fldChar w:fldCharType="begin"/>
      </w:r>
      <w:r>
        <w:rPr>
          <w:rFonts w:ascii="楷体_GB2312" w:hAnsi="黑体" w:eastAsia="楷体_GB2312"/>
          <w:b w:val="0"/>
          <w:sz w:val="32"/>
          <w:szCs w:val="32"/>
        </w:rPr>
        <w:instrText xml:space="preserve"> PAGEREF _Toc106610314 \h </w:instrText>
      </w:r>
      <w:r>
        <w:rPr>
          <w:rFonts w:hint="eastAsia" w:ascii="楷体_GB2312" w:hAnsi="黑体" w:eastAsia="楷体_GB2312"/>
          <w:b w:val="0"/>
          <w:sz w:val="32"/>
          <w:szCs w:val="32"/>
        </w:rPr>
        <w:fldChar w:fldCharType="separate"/>
      </w:r>
      <w:r>
        <w:rPr>
          <w:rFonts w:ascii="楷体_GB2312" w:hAnsi="黑体" w:eastAsia="楷体_GB2312"/>
          <w:b w:val="0"/>
          <w:sz w:val="32"/>
          <w:szCs w:val="32"/>
        </w:rPr>
        <w:t>14</w:t>
      </w:r>
      <w:r>
        <w:rPr>
          <w:rFonts w:hint="eastAsia" w:ascii="楷体_GB2312" w:hAnsi="黑体" w:eastAsia="楷体_GB2312"/>
          <w:b w:val="0"/>
          <w:sz w:val="32"/>
          <w:szCs w:val="32"/>
        </w:rPr>
        <w:fldChar w:fldCharType="end"/>
      </w:r>
      <w:r>
        <w:rPr>
          <w:rFonts w:ascii="楷体_GB2312" w:hAnsi="黑体" w:eastAsia="楷体_GB2312"/>
          <w:b w:val="0"/>
          <w:sz w:val="32"/>
          <w:szCs w:val="32"/>
        </w:rPr>
        <w:fldChar w:fldCharType="end"/>
      </w:r>
    </w:p>
    <w:p>
      <w:pPr>
        <w:pStyle w:val="9"/>
        <w:tabs>
          <w:tab w:val="right" w:leader="dot" w:pos="8296"/>
        </w:tabs>
        <w:spacing w:line="560" w:lineRule="exact"/>
        <w:ind w:firstLine="640"/>
        <w:contextualSpacing/>
        <w:rPr>
          <w:rFonts w:ascii="楷体_GB2312" w:hAnsi="黑体" w:eastAsia="楷体_GB2312" w:cs="Times New Roman"/>
          <w:smallCaps w:val="0"/>
          <w:color w:val="auto"/>
          <w:sz w:val="32"/>
          <w:szCs w:val="32"/>
        </w:rPr>
      </w:pPr>
      <w:r>
        <w:rPr>
          <w:sz w:val="32"/>
          <w:szCs w:val="32"/>
        </w:rPr>
        <w:fldChar w:fldCharType="begin"/>
      </w:r>
      <w:r>
        <w:rPr>
          <w:sz w:val="32"/>
          <w:szCs w:val="32"/>
        </w:rPr>
        <w:instrText xml:space="preserve"> HYPERLINK \l "_Toc106610315" </w:instrText>
      </w:r>
      <w:r>
        <w:rPr>
          <w:sz w:val="32"/>
          <w:szCs w:val="32"/>
        </w:rPr>
        <w:fldChar w:fldCharType="separate"/>
      </w:r>
      <w:r>
        <w:rPr>
          <w:rStyle w:val="12"/>
          <w:rFonts w:hint="eastAsia" w:ascii="楷体_GB2312" w:hAnsi="黑体" w:eastAsia="楷体_GB2312"/>
          <w:sz w:val="32"/>
          <w:szCs w:val="32"/>
        </w:rPr>
        <w:t>第一节</w:t>
      </w:r>
      <w:r>
        <w:rPr>
          <w:rStyle w:val="12"/>
          <w:rFonts w:ascii="楷体_GB2312" w:hAnsi="黑体" w:eastAsia="楷体_GB2312"/>
          <w:sz w:val="32"/>
          <w:szCs w:val="32"/>
        </w:rPr>
        <w:t xml:space="preserve"> </w:t>
      </w:r>
      <w:r>
        <w:rPr>
          <w:rStyle w:val="12"/>
          <w:rFonts w:hint="eastAsia" w:ascii="楷体_GB2312" w:hAnsi="黑体" w:eastAsia="楷体_GB2312"/>
          <w:sz w:val="32"/>
          <w:szCs w:val="32"/>
        </w:rPr>
        <w:t>指导思想</w:t>
      </w:r>
      <w:r>
        <w:rPr>
          <w:rFonts w:ascii="楷体_GB2312" w:hAnsi="黑体" w:eastAsia="楷体_GB2312"/>
          <w:sz w:val="32"/>
          <w:szCs w:val="32"/>
        </w:rPr>
        <w:tab/>
      </w:r>
      <w:r>
        <w:rPr>
          <w:rFonts w:hint="eastAsia" w:ascii="楷体_GB2312" w:hAnsi="黑体" w:eastAsia="楷体_GB2312"/>
          <w:sz w:val="32"/>
          <w:szCs w:val="32"/>
        </w:rPr>
        <w:fldChar w:fldCharType="begin"/>
      </w:r>
      <w:r>
        <w:rPr>
          <w:rFonts w:ascii="楷体_GB2312" w:hAnsi="黑体" w:eastAsia="楷体_GB2312"/>
          <w:sz w:val="32"/>
          <w:szCs w:val="32"/>
        </w:rPr>
        <w:instrText xml:space="preserve"> PAGEREF _Toc106610315 \h </w:instrText>
      </w:r>
      <w:r>
        <w:rPr>
          <w:rFonts w:hint="eastAsia" w:ascii="楷体_GB2312" w:hAnsi="黑体" w:eastAsia="楷体_GB2312"/>
          <w:sz w:val="32"/>
          <w:szCs w:val="32"/>
        </w:rPr>
        <w:fldChar w:fldCharType="separate"/>
      </w:r>
      <w:r>
        <w:rPr>
          <w:rFonts w:ascii="楷体_GB2312" w:hAnsi="黑体" w:eastAsia="楷体_GB2312"/>
          <w:sz w:val="32"/>
          <w:szCs w:val="32"/>
        </w:rPr>
        <w:t>14</w:t>
      </w:r>
      <w:r>
        <w:rPr>
          <w:rFonts w:hint="eastAsia" w:ascii="楷体_GB2312" w:hAnsi="黑体" w:eastAsia="楷体_GB2312"/>
          <w:sz w:val="32"/>
          <w:szCs w:val="32"/>
        </w:rPr>
        <w:fldChar w:fldCharType="end"/>
      </w:r>
      <w:r>
        <w:rPr>
          <w:rFonts w:ascii="楷体_GB2312" w:hAnsi="黑体" w:eastAsia="楷体_GB2312"/>
          <w:sz w:val="32"/>
          <w:szCs w:val="32"/>
        </w:rPr>
        <w:fldChar w:fldCharType="end"/>
      </w:r>
    </w:p>
    <w:p>
      <w:pPr>
        <w:pStyle w:val="9"/>
        <w:tabs>
          <w:tab w:val="right" w:leader="dot" w:pos="8296"/>
        </w:tabs>
        <w:spacing w:line="560" w:lineRule="exact"/>
        <w:ind w:firstLine="640"/>
        <w:contextualSpacing/>
        <w:rPr>
          <w:rFonts w:ascii="楷体_GB2312" w:hAnsi="黑体" w:eastAsia="楷体_GB2312" w:cs="Times New Roman"/>
          <w:smallCaps w:val="0"/>
          <w:color w:val="auto"/>
          <w:sz w:val="32"/>
          <w:szCs w:val="32"/>
        </w:rPr>
      </w:pPr>
      <w:r>
        <w:rPr>
          <w:sz w:val="32"/>
          <w:szCs w:val="32"/>
        </w:rPr>
        <w:fldChar w:fldCharType="begin"/>
      </w:r>
      <w:r>
        <w:rPr>
          <w:sz w:val="32"/>
          <w:szCs w:val="32"/>
        </w:rPr>
        <w:instrText xml:space="preserve"> HYPERLINK \l "_Toc106610316" </w:instrText>
      </w:r>
      <w:r>
        <w:rPr>
          <w:sz w:val="32"/>
          <w:szCs w:val="32"/>
        </w:rPr>
        <w:fldChar w:fldCharType="separate"/>
      </w:r>
      <w:r>
        <w:rPr>
          <w:rStyle w:val="12"/>
          <w:rFonts w:hint="eastAsia" w:ascii="楷体_GB2312" w:hAnsi="黑体" w:eastAsia="楷体_GB2312"/>
          <w:sz w:val="32"/>
          <w:szCs w:val="32"/>
        </w:rPr>
        <w:t>第二节</w:t>
      </w:r>
      <w:r>
        <w:rPr>
          <w:rStyle w:val="12"/>
          <w:rFonts w:ascii="楷体_GB2312" w:hAnsi="黑体" w:eastAsia="楷体_GB2312"/>
          <w:sz w:val="32"/>
          <w:szCs w:val="32"/>
        </w:rPr>
        <w:t xml:space="preserve"> </w:t>
      </w:r>
      <w:r>
        <w:rPr>
          <w:rStyle w:val="12"/>
          <w:rFonts w:hint="eastAsia" w:ascii="楷体_GB2312" w:hAnsi="黑体" w:eastAsia="楷体_GB2312"/>
          <w:sz w:val="32"/>
          <w:szCs w:val="32"/>
        </w:rPr>
        <w:t>基本原则</w:t>
      </w:r>
      <w:r>
        <w:rPr>
          <w:rFonts w:ascii="楷体_GB2312" w:hAnsi="黑体" w:eastAsia="楷体_GB2312"/>
          <w:sz w:val="32"/>
          <w:szCs w:val="32"/>
        </w:rPr>
        <w:tab/>
      </w:r>
      <w:r>
        <w:rPr>
          <w:rFonts w:hint="eastAsia" w:ascii="楷体_GB2312" w:hAnsi="黑体" w:eastAsia="楷体_GB2312"/>
          <w:sz w:val="32"/>
          <w:szCs w:val="32"/>
        </w:rPr>
        <w:fldChar w:fldCharType="begin"/>
      </w:r>
      <w:r>
        <w:rPr>
          <w:rFonts w:ascii="楷体_GB2312" w:hAnsi="黑体" w:eastAsia="楷体_GB2312"/>
          <w:sz w:val="32"/>
          <w:szCs w:val="32"/>
        </w:rPr>
        <w:instrText xml:space="preserve"> PAGEREF _Toc106610316 \h </w:instrText>
      </w:r>
      <w:r>
        <w:rPr>
          <w:rFonts w:hint="eastAsia" w:ascii="楷体_GB2312" w:hAnsi="黑体" w:eastAsia="楷体_GB2312"/>
          <w:sz w:val="32"/>
          <w:szCs w:val="32"/>
        </w:rPr>
        <w:fldChar w:fldCharType="separate"/>
      </w:r>
      <w:r>
        <w:rPr>
          <w:rFonts w:ascii="楷体_GB2312" w:hAnsi="黑体" w:eastAsia="楷体_GB2312"/>
          <w:sz w:val="32"/>
          <w:szCs w:val="32"/>
        </w:rPr>
        <w:t>14</w:t>
      </w:r>
      <w:r>
        <w:rPr>
          <w:rFonts w:hint="eastAsia" w:ascii="楷体_GB2312" w:hAnsi="黑体" w:eastAsia="楷体_GB2312"/>
          <w:sz w:val="32"/>
          <w:szCs w:val="32"/>
        </w:rPr>
        <w:fldChar w:fldCharType="end"/>
      </w:r>
      <w:r>
        <w:rPr>
          <w:rFonts w:ascii="楷体_GB2312" w:hAnsi="黑体" w:eastAsia="楷体_GB2312"/>
          <w:sz w:val="32"/>
          <w:szCs w:val="32"/>
        </w:rPr>
        <w:fldChar w:fldCharType="end"/>
      </w:r>
    </w:p>
    <w:p>
      <w:pPr>
        <w:pStyle w:val="9"/>
        <w:tabs>
          <w:tab w:val="right" w:leader="dot" w:pos="8296"/>
        </w:tabs>
        <w:spacing w:line="560" w:lineRule="exact"/>
        <w:ind w:firstLine="640"/>
        <w:contextualSpacing/>
        <w:rPr>
          <w:rFonts w:ascii="楷体_GB2312" w:hAnsi="黑体" w:eastAsia="楷体_GB2312" w:cs="Times New Roman"/>
          <w:smallCaps w:val="0"/>
          <w:color w:val="auto"/>
          <w:sz w:val="32"/>
          <w:szCs w:val="32"/>
        </w:rPr>
      </w:pPr>
      <w:r>
        <w:rPr>
          <w:sz w:val="32"/>
          <w:szCs w:val="32"/>
        </w:rPr>
        <w:fldChar w:fldCharType="begin"/>
      </w:r>
      <w:r>
        <w:rPr>
          <w:sz w:val="32"/>
          <w:szCs w:val="32"/>
        </w:rPr>
        <w:instrText xml:space="preserve"> HYPERLINK \l "_Toc106610317" </w:instrText>
      </w:r>
      <w:r>
        <w:rPr>
          <w:sz w:val="32"/>
          <w:szCs w:val="32"/>
        </w:rPr>
        <w:fldChar w:fldCharType="separate"/>
      </w:r>
      <w:r>
        <w:rPr>
          <w:rStyle w:val="12"/>
          <w:rFonts w:hint="eastAsia" w:ascii="楷体_GB2312" w:hAnsi="黑体" w:eastAsia="楷体_GB2312"/>
          <w:sz w:val="32"/>
          <w:szCs w:val="32"/>
        </w:rPr>
        <w:t>第三节</w:t>
      </w:r>
      <w:r>
        <w:rPr>
          <w:rStyle w:val="12"/>
          <w:rFonts w:ascii="楷体_GB2312" w:hAnsi="黑体" w:eastAsia="楷体_GB2312"/>
          <w:sz w:val="32"/>
          <w:szCs w:val="32"/>
        </w:rPr>
        <w:t xml:space="preserve"> </w:t>
      </w:r>
      <w:r>
        <w:rPr>
          <w:rStyle w:val="12"/>
          <w:rFonts w:hint="eastAsia" w:ascii="楷体_GB2312" w:hAnsi="黑体" w:eastAsia="楷体_GB2312"/>
          <w:sz w:val="32"/>
          <w:szCs w:val="32"/>
        </w:rPr>
        <w:t>规划目标</w:t>
      </w:r>
      <w:r>
        <w:rPr>
          <w:rFonts w:ascii="楷体_GB2312" w:hAnsi="黑体" w:eastAsia="楷体_GB2312"/>
          <w:sz w:val="32"/>
          <w:szCs w:val="32"/>
        </w:rPr>
        <w:tab/>
      </w:r>
      <w:r>
        <w:rPr>
          <w:rFonts w:hint="eastAsia" w:ascii="楷体_GB2312" w:hAnsi="黑体" w:eastAsia="楷体_GB2312"/>
          <w:sz w:val="32"/>
          <w:szCs w:val="32"/>
        </w:rPr>
        <w:fldChar w:fldCharType="begin"/>
      </w:r>
      <w:r>
        <w:rPr>
          <w:rFonts w:ascii="楷体_GB2312" w:hAnsi="黑体" w:eastAsia="楷体_GB2312"/>
          <w:sz w:val="32"/>
          <w:szCs w:val="32"/>
        </w:rPr>
        <w:instrText xml:space="preserve"> PAGEREF _Toc106610317 \h </w:instrText>
      </w:r>
      <w:r>
        <w:rPr>
          <w:rFonts w:hint="eastAsia" w:ascii="楷体_GB2312" w:hAnsi="黑体" w:eastAsia="楷体_GB2312"/>
          <w:sz w:val="32"/>
          <w:szCs w:val="32"/>
        </w:rPr>
        <w:fldChar w:fldCharType="separate"/>
      </w:r>
      <w:r>
        <w:rPr>
          <w:rFonts w:ascii="楷体_GB2312" w:hAnsi="黑体" w:eastAsia="楷体_GB2312"/>
          <w:sz w:val="32"/>
          <w:szCs w:val="32"/>
        </w:rPr>
        <w:t>15</w:t>
      </w:r>
      <w:r>
        <w:rPr>
          <w:rFonts w:hint="eastAsia" w:ascii="楷体_GB2312" w:hAnsi="黑体" w:eastAsia="楷体_GB2312"/>
          <w:sz w:val="32"/>
          <w:szCs w:val="32"/>
        </w:rPr>
        <w:fldChar w:fldCharType="end"/>
      </w:r>
      <w:r>
        <w:rPr>
          <w:rFonts w:ascii="楷体_GB2312" w:hAnsi="黑体" w:eastAsia="楷体_GB2312"/>
          <w:sz w:val="32"/>
          <w:szCs w:val="32"/>
        </w:rPr>
        <w:fldChar w:fldCharType="end"/>
      </w:r>
    </w:p>
    <w:p>
      <w:pPr>
        <w:pStyle w:val="8"/>
        <w:tabs>
          <w:tab w:val="right" w:leader="dot" w:pos="8296"/>
        </w:tabs>
        <w:spacing w:before="0" w:after="0" w:line="560" w:lineRule="exact"/>
        <w:ind w:firstLine="643"/>
        <w:contextualSpacing/>
        <w:rPr>
          <w:rFonts w:ascii="楷体_GB2312" w:hAnsi="黑体" w:eastAsia="楷体_GB2312" w:cs="Times New Roman"/>
          <w:b w:val="0"/>
          <w:bCs w:val="0"/>
          <w:caps w:val="0"/>
          <w:color w:val="auto"/>
          <w:sz w:val="32"/>
          <w:szCs w:val="32"/>
        </w:rPr>
      </w:pPr>
      <w:r>
        <w:rPr>
          <w:sz w:val="32"/>
          <w:szCs w:val="32"/>
        </w:rPr>
        <w:fldChar w:fldCharType="begin"/>
      </w:r>
      <w:r>
        <w:rPr>
          <w:sz w:val="32"/>
          <w:szCs w:val="32"/>
        </w:rPr>
        <w:instrText xml:space="preserve"> HYPERLINK \l "_Toc106610318" </w:instrText>
      </w:r>
      <w:r>
        <w:rPr>
          <w:sz w:val="32"/>
          <w:szCs w:val="32"/>
        </w:rPr>
        <w:fldChar w:fldCharType="separate"/>
      </w:r>
      <w:r>
        <w:rPr>
          <w:rStyle w:val="12"/>
          <w:rFonts w:hint="eastAsia" w:ascii="黑体" w:hAnsi="黑体" w:eastAsia="黑体"/>
          <w:b w:val="0"/>
          <w:sz w:val="32"/>
          <w:szCs w:val="32"/>
        </w:rPr>
        <w:t>第三章</w:t>
      </w:r>
      <w:r>
        <w:rPr>
          <w:rStyle w:val="12"/>
          <w:rFonts w:ascii="黑体" w:hAnsi="黑体" w:eastAsia="黑体"/>
          <w:b w:val="0"/>
          <w:sz w:val="32"/>
          <w:szCs w:val="32"/>
        </w:rPr>
        <w:t xml:space="preserve"> </w:t>
      </w:r>
      <w:r>
        <w:rPr>
          <w:rStyle w:val="12"/>
          <w:rFonts w:hint="eastAsia" w:ascii="黑体" w:hAnsi="黑体" w:eastAsia="黑体"/>
          <w:b w:val="0"/>
          <w:sz w:val="32"/>
          <w:szCs w:val="32"/>
        </w:rPr>
        <w:t>勘查开发总体布局</w:t>
      </w:r>
      <w:r>
        <w:rPr>
          <w:rFonts w:ascii="楷体_GB2312" w:hAnsi="黑体" w:eastAsia="楷体_GB2312"/>
          <w:b w:val="0"/>
          <w:sz w:val="32"/>
          <w:szCs w:val="32"/>
        </w:rPr>
        <w:tab/>
      </w:r>
      <w:r>
        <w:rPr>
          <w:rFonts w:hint="eastAsia" w:ascii="楷体_GB2312" w:hAnsi="黑体" w:eastAsia="楷体_GB2312"/>
          <w:b w:val="0"/>
          <w:sz w:val="32"/>
          <w:szCs w:val="32"/>
        </w:rPr>
        <w:fldChar w:fldCharType="begin"/>
      </w:r>
      <w:r>
        <w:rPr>
          <w:rFonts w:ascii="楷体_GB2312" w:hAnsi="黑体" w:eastAsia="楷体_GB2312"/>
          <w:b w:val="0"/>
          <w:sz w:val="32"/>
          <w:szCs w:val="32"/>
        </w:rPr>
        <w:instrText xml:space="preserve"> PAGEREF _Toc106610318 \h </w:instrText>
      </w:r>
      <w:r>
        <w:rPr>
          <w:rFonts w:hint="eastAsia" w:ascii="楷体_GB2312" w:hAnsi="黑体" w:eastAsia="楷体_GB2312"/>
          <w:b w:val="0"/>
          <w:sz w:val="32"/>
          <w:szCs w:val="32"/>
        </w:rPr>
        <w:fldChar w:fldCharType="separate"/>
      </w:r>
      <w:r>
        <w:rPr>
          <w:rFonts w:ascii="楷体_GB2312" w:hAnsi="黑体" w:eastAsia="楷体_GB2312"/>
          <w:b w:val="0"/>
          <w:sz w:val="32"/>
          <w:szCs w:val="32"/>
        </w:rPr>
        <w:t>19</w:t>
      </w:r>
      <w:r>
        <w:rPr>
          <w:rFonts w:hint="eastAsia" w:ascii="楷体_GB2312" w:hAnsi="黑体" w:eastAsia="楷体_GB2312"/>
          <w:b w:val="0"/>
          <w:sz w:val="32"/>
          <w:szCs w:val="32"/>
        </w:rPr>
        <w:fldChar w:fldCharType="end"/>
      </w:r>
      <w:r>
        <w:rPr>
          <w:rFonts w:ascii="楷体_GB2312" w:hAnsi="黑体" w:eastAsia="楷体_GB2312"/>
          <w:b w:val="0"/>
          <w:sz w:val="32"/>
          <w:szCs w:val="32"/>
        </w:rPr>
        <w:fldChar w:fldCharType="end"/>
      </w:r>
    </w:p>
    <w:p>
      <w:pPr>
        <w:pStyle w:val="9"/>
        <w:tabs>
          <w:tab w:val="right" w:leader="dot" w:pos="8296"/>
        </w:tabs>
        <w:spacing w:line="560" w:lineRule="exact"/>
        <w:ind w:firstLine="640"/>
        <w:contextualSpacing/>
        <w:rPr>
          <w:rFonts w:ascii="楷体_GB2312" w:hAnsi="黑体" w:eastAsia="楷体_GB2312" w:cs="Times New Roman"/>
          <w:smallCaps w:val="0"/>
          <w:color w:val="auto"/>
          <w:sz w:val="32"/>
          <w:szCs w:val="32"/>
        </w:rPr>
      </w:pPr>
      <w:r>
        <w:rPr>
          <w:sz w:val="32"/>
          <w:szCs w:val="32"/>
        </w:rPr>
        <w:fldChar w:fldCharType="begin"/>
      </w:r>
      <w:r>
        <w:rPr>
          <w:sz w:val="32"/>
          <w:szCs w:val="32"/>
        </w:rPr>
        <w:instrText xml:space="preserve"> HYPERLINK \l "_Toc106610319" </w:instrText>
      </w:r>
      <w:r>
        <w:rPr>
          <w:sz w:val="32"/>
          <w:szCs w:val="32"/>
        </w:rPr>
        <w:fldChar w:fldCharType="separate"/>
      </w:r>
      <w:r>
        <w:rPr>
          <w:rStyle w:val="12"/>
          <w:rFonts w:hint="eastAsia" w:ascii="楷体_GB2312" w:hAnsi="黑体" w:eastAsia="楷体_GB2312"/>
          <w:sz w:val="32"/>
          <w:szCs w:val="32"/>
        </w:rPr>
        <w:t>第一节</w:t>
      </w:r>
      <w:r>
        <w:rPr>
          <w:rStyle w:val="12"/>
          <w:rFonts w:ascii="楷体_GB2312" w:hAnsi="黑体" w:eastAsia="楷体_GB2312"/>
          <w:sz w:val="32"/>
          <w:szCs w:val="32"/>
        </w:rPr>
        <w:t xml:space="preserve"> </w:t>
      </w:r>
      <w:r>
        <w:rPr>
          <w:rStyle w:val="12"/>
          <w:rFonts w:hint="eastAsia" w:ascii="楷体_GB2312" w:hAnsi="黑体" w:eastAsia="楷体_GB2312"/>
          <w:sz w:val="32"/>
          <w:szCs w:val="32"/>
        </w:rPr>
        <w:t>勘查开发保护区域布局</w:t>
      </w:r>
      <w:r>
        <w:rPr>
          <w:rFonts w:ascii="楷体_GB2312" w:hAnsi="黑体" w:eastAsia="楷体_GB2312"/>
          <w:sz w:val="32"/>
          <w:szCs w:val="32"/>
        </w:rPr>
        <w:tab/>
      </w:r>
      <w:r>
        <w:rPr>
          <w:rFonts w:hint="eastAsia" w:ascii="楷体_GB2312" w:hAnsi="黑体" w:eastAsia="楷体_GB2312"/>
          <w:sz w:val="32"/>
          <w:szCs w:val="32"/>
        </w:rPr>
        <w:fldChar w:fldCharType="begin"/>
      </w:r>
      <w:r>
        <w:rPr>
          <w:rFonts w:ascii="楷体_GB2312" w:hAnsi="黑体" w:eastAsia="楷体_GB2312"/>
          <w:sz w:val="32"/>
          <w:szCs w:val="32"/>
        </w:rPr>
        <w:instrText xml:space="preserve"> PAGEREF _Toc106610319 \h </w:instrText>
      </w:r>
      <w:r>
        <w:rPr>
          <w:rFonts w:hint="eastAsia" w:ascii="楷体_GB2312" w:hAnsi="黑体" w:eastAsia="楷体_GB2312"/>
          <w:sz w:val="32"/>
          <w:szCs w:val="32"/>
        </w:rPr>
        <w:fldChar w:fldCharType="separate"/>
      </w:r>
      <w:r>
        <w:rPr>
          <w:rFonts w:ascii="楷体_GB2312" w:hAnsi="黑体" w:eastAsia="楷体_GB2312"/>
          <w:sz w:val="32"/>
          <w:szCs w:val="32"/>
        </w:rPr>
        <w:t>19</w:t>
      </w:r>
      <w:r>
        <w:rPr>
          <w:rFonts w:hint="eastAsia" w:ascii="楷体_GB2312" w:hAnsi="黑体" w:eastAsia="楷体_GB2312"/>
          <w:sz w:val="32"/>
          <w:szCs w:val="32"/>
        </w:rPr>
        <w:fldChar w:fldCharType="end"/>
      </w:r>
      <w:r>
        <w:rPr>
          <w:rFonts w:ascii="楷体_GB2312" w:hAnsi="黑体" w:eastAsia="楷体_GB2312"/>
          <w:sz w:val="32"/>
          <w:szCs w:val="32"/>
        </w:rPr>
        <w:fldChar w:fldCharType="end"/>
      </w:r>
    </w:p>
    <w:p>
      <w:pPr>
        <w:pStyle w:val="9"/>
        <w:tabs>
          <w:tab w:val="right" w:leader="dot" w:pos="8296"/>
        </w:tabs>
        <w:spacing w:line="560" w:lineRule="exact"/>
        <w:ind w:firstLine="640"/>
        <w:contextualSpacing/>
        <w:rPr>
          <w:rFonts w:ascii="楷体_GB2312" w:hAnsi="黑体" w:eastAsia="楷体_GB2312" w:cs="Times New Roman"/>
          <w:smallCaps w:val="0"/>
          <w:color w:val="auto"/>
          <w:sz w:val="32"/>
          <w:szCs w:val="32"/>
        </w:rPr>
      </w:pPr>
      <w:r>
        <w:rPr>
          <w:sz w:val="32"/>
          <w:szCs w:val="32"/>
        </w:rPr>
        <w:fldChar w:fldCharType="begin"/>
      </w:r>
      <w:r>
        <w:rPr>
          <w:sz w:val="32"/>
          <w:szCs w:val="32"/>
        </w:rPr>
        <w:instrText xml:space="preserve"> HYPERLINK \l "_Toc106610320" </w:instrText>
      </w:r>
      <w:r>
        <w:rPr>
          <w:sz w:val="32"/>
          <w:szCs w:val="32"/>
        </w:rPr>
        <w:fldChar w:fldCharType="separate"/>
      </w:r>
      <w:r>
        <w:rPr>
          <w:rStyle w:val="12"/>
          <w:rFonts w:hint="eastAsia" w:ascii="楷体_GB2312" w:hAnsi="黑体" w:eastAsia="楷体_GB2312"/>
          <w:sz w:val="32"/>
          <w:szCs w:val="32"/>
        </w:rPr>
        <w:t>第二节</w:t>
      </w:r>
      <w:r>
        <w:rPr>
          <w:rStyle w:val="12"/>
          <w:rFonts w:ascii="楷体_GB2312" w:hAnsi="黑体" w:eastAsia="楷体_GB2312"/>
          <w:sz w:val="32"/>
          <w:szCs w:val="32"/>
        </w:rPr>
        <w:t xml:space="preserve"> </w:t>
      </w:r>
      <w:r>
        <w:rPr>
          <w:rStyle w:val="12"/>
          <w:rFonts w:hint="eastAsia" w:ascii="楷体_GB2312" w:hAnsi="黑体" w:eastAsia="楷体_GB2312"/>
          <w:sz w:val="32"/>
          <w:szCs w:val="32"/>
        </w:rPr>
        <w:t>能源资源安全保障布局</w:t>
      </w:r>
      <w:r>
        <w:rPr>
          <w:rFonts w:ascii="楷体_GB2312" w:hAnsi="黑体" w:eastAsia="楷体_GB2312"/>
          <w:sz w:val="32"/>
          <w:szCs w:val="32"/>
        </w:rPr>
        <w:tab/>
      </w:r>
      <w:r>
        <w:rPr>
          <w:rFonts w:hint="eastAsia" w:ascii="楷体_GB2312" w:hAnsi="黑体" w:eastAsia="楷体_GB2312"/>
          <w:sz w:val="32"/>
          <w:szCs w:val="32"/>
        </w:rPr>
        <w:fldChar w:fldCharType="begin"/>
      </w:r>
      <w:r>
        <w:rPr>
          <w:rFonts w:ascii="楷体_GB2312" w:hAnsi="黑体" w:eastAsia="楷体_GB2312"/>
          <w:sz w:val="32"/>
          <w:szCs w:val="32"/>
        </w:rPr>
        <w:instrText xml:space="preserve"> PAGEREF _Toc106610320 \h </w:instrText>
      </w:r>
      <w:r>
        <w:rPr>
          <w:rFonts w:hint="eastAsia" w:ascii="楷体_GB2312" w:hAnsi="黑体" w:eastAsia="楷体_GB2312"/>
          <w:sz w:val="32"/>
          <w:szCs w:val="32"/>
        </w:rPr>
        <w:fldChar w:fldCharType="separate"/>
      </w:r>
      <w:r>
        <w:rPr>
          <w:rFonts w:ascii="楷体_GB2312" w:hAnsi="黑体" w:eastAsia="楷体_GB2312"/>
          <w:sz w:val="32"/>
          <w:szCs w:val="32"/>
        </w:rPr>
        <w:t>21</w:t>
      </w:r>
      <w:r>
        <w:rPr>
          <w:rFonts w:hint="eastAsia" w:ascii="楷体_GB2312" w:hAnsi="黑体" w:eastAsia="楷体_GB2312"/>
          <w:sz w:val="32"/>
          <w:szCs w:val="32"/>
        </w:rPr>
        <w:fldChar w:fldCharType="end"/>
      </w:r>
      <w:r>
        <w:rPr>
          <w:rFonts w:ascii="楷体_GB2312" w:hAnsi="黑体" w:eastAsia="楷体_GB2312"/>
          <w:sz w:val="32"/>
          <w:szCs w:val="32"/>
        </w:rPr>
        <w:fldChar w:fldCharType="end"/>
      </w:r>
    </w:p>
    <w:p>
      <w:pPr>
        <w:pStyle w:val="9"/>
        <w:tabs>
          <w:tab w:val="right" w:leader="dot" w:pos="8296"/>
        </w:tabs>
        <w:spacing w:line="560" w:lineRule="exact"/>
        <w:ind w:firstLine="640"/>
        <w:contextualSpacing/>
        <w:rPr>
          <w:rFonts w:ascii="楷体_GB2312" w:hAnsi="黑体" w:eastAsia="楷体_GB2312" w:cs="Times New Roman"/>
          <w:smallCaps w:val="0"/>
          <w:color w:val="auto"/>
          <w:sz w:val="32"/>
          <w:szCs w:val="32"/>
        </w:rPr>
      </w:pPr>
      <w:r>
        <w:rPr>
          <w:sz w:val="32"/>
          <w:szCs w:val="32"/>
        </w:rPr>
        <w:fldChar w:fldCharType="begin"/>
      </w:r>
      <w:r>
        <w:rPr>
          <w:sz w:val="32"/>
          <w:szCs w:val="32"/>
        </w:rPr>
        <w:instrText xml:space="preserve"> HYPERLINK \l "_Toc106610321" </w:instrText>
      </w:r>
      <w:r>
        <w:rPr>
          <w:sz w:val="32"/>
          <w:szCs w:val="32"/>
        </w:rPr>
        <w:fldChar w:fldCharType="separate"/>
      </w:r>
      <w:r>
        <w:rPr>
          <w:rStyle w:val="12"/>
          <w:rFonts w:hint="eastAsia" w:ascii="楷体_GB2312" w:hAnsi="黑体" w:eastAsia="楷体_GB2312"/>
          <w:sz w:val="32"/>
          <w:szCs w:val="32"/>
        </w:rPr>
        <w:t>第三节</w:t>
      </w:r>
      <w:r>
        <w:rPr>
          <w:rStyle w:val="12"/>
          <w:rFonts w:ascii="楷体_GB2312" w:hAnsi="黑体" w:eastAsia="楷体_GB2312"/>
          <w:sz w:val="32"/>
          <w:szCs w:val="32"/>
        </w:rPr>
        <w:t xml:space="preserve"> </w:t>
      </w:r>
      <w:r>
        <w:rPr>
          <w:rStyle w:val="12"/>
          <w:rFonts w:hint="eastAsia" w:ascii="楷体_GB2312" w:hAnsi="黑体" w:eastAsia="楷体_GB2312"/>
          <w:sz w:val="32"/>
          <w:szCs w:val="32"/>
        </w:rPr>
        <w:t>矿产资源勘查开发规划分区</w:t>
      </w:r>
      <w:r>
        <w:rPr>
          <w:rFonts w:ascii="楷体_GB2312" w:hAnsi="黑体" w:eastAsia="楷体_GB2312"/>
          <w:sz w:val="32"/>
          <w:szCs w:val="32"/>
        </w:rPr>
        <w:tab/>
      </w:r>
      <w:r>
        <w:rPr>
          <w:rFonts w:hint="eastAsia" w:ascii="楷体_GB2312" w:hAnsi="黑体" w:eastAsia="楷体_GB2312"/>
          <w:sz w:val="32"/>
          <w:szCs w:val="32"/>
        </w:rPr>
        <w:fldChar w:fldCharType="begin"/>
      </w:r>
      <w:r>
        <w:rPr>
          <w:rFonts w:ascii="楷体_GB2312" w:hAnsi="黑体" w:eastAsia="楷体_GB2312"/>
          <w:sz w:val="32"/>
          <w:szCs w:val="32"/>
        </w:rPr>
        <w:instrText xml:space="preserve"> PAGEREF _Toc106610321 \h </w:instrText>
      </w:r>
      <w:r>
        <w:rPr>
          <w:rFonts w:hint="eastAsia" w:ascii="楷体_GB2312" w:hAnsi="黑体" w:eastAsia="楷体_GB2312"/>
          <w:sz w:val="32"/>
          <w:szCs w:val="32"/>
        </w:rPr>
        <w:fldChar w:fldCharType="separate"/>
      </w:r>
      <w:r>
        <w:rPr>
          <w:rFonts w:ascii="楷体_GB2312" w:hAnsi="黑体" w:eastAsia="楷体_GB2312"/>
          <w:sz w:val="32"/>
          <w:szCs w:val="32"/>
        </w:rPr>
        <w:t>23</w:t>
      </w:r>
      <w:r>
        <w:rPr>
          <w:rFonts w:hint="eastAsia" w:ascii="楷体_GB2312" w:hAnsi="黑体" w:eastAsia="楷体_GB2312"/>
          <w:sz w:val="32"/>
          <w:szCs w:val="32"/>
        </w:rPr>
        <w:fldChar w:fldCharType="end"/>
      </w:r>
      <w:r>
        <w:rPr>
          <w:rFonts w:ascii="楷体_GB2312" w:hAnsi="黑体" w:eastAsia="楷体_GB2312"/>
          <w:sz w:val="32"/>
          <w:szCs w:val="32"/>
        </w:rPr>
        <w:fldChar w:fldCharType="end"/>
      </w:r>
    </w:p>
    <w:p>
      <w:pPr>
        <w:pStyle w:val="8"/>
        <w:tabs>
          <w:tab w:val="right" w:leader="dot" w:pos="8296"/>
        </w:tabs>
        <w:spacing w:before="0" w:after="0" w:line="560" w:lineRule="exact"/>
        <w:ind w:firstLine="643"/>
        <w:contextualSpacing/>
        <w:rPr>
          <w:rFonts w:ascii="楷体_GB2312" w:hAnsi="黑体" w:eastAsia="楷体_GB2312" w:cs="Times New Roman"/>
          <w:b w:val="0"/>
          <w:bCs w:val="0"/>
          <w:caps w:val="0"/>
          <w:color w:val="auto"/>
          <w:sz w:val="32"/>
          <w:szCs w:val="32"/>
        </w:rPr>
      </w:pPr>
      <w:r>
        <w:rPr>
          <w:sz w:val="32"/>
          <w:szCs w:val="32"/>
        </w:rPr>
        <w:fldChar w:fldCharType="begin"/>
      </w:r>
      <w:r>
        <w:rPr>
          <w:sz w:val="32"/>
          <w:szCs w:val="32"/>
        </w:rPr>
        <w:instrText xml:space="preserve"> HYPERLINK \l "_Toc106610322" </w:instrText>
      </w:r>
      <w:r>
        <w:rPr>
          <w:sz w:val="32"/>
          <w:szCs w:val="32"/>
        </w:rPr>
        <w:fldChar w:fldCharType="separate"/>
      </w:r>
      <w:r>
        <w:rPr>
          <w:rStyle w:val="12"/>
          <w:rFonts w:hint="eastAsia" w:ascii="黑体" w:hAnsi="黑体" w:eastAsia="黑体"/>
          <w:b w:val="0"/>
          <w:sz w:val="32"/>
          <w:szCs w:val="32"/>
        </w:rPr>
        <w:t>第四章</w:t>
      </w:r>
      <w:r>
        <w:rPr>
          <w:rStyle w:val="12"/>
          <w:rFonts w:ascii="黑体" w:hAnsi="黑体" w:eastAsia="黑体"/>
          <w:b w:val="0"/>
          <w:sz w:val="32"/>
          <w:szCs w:val="32"/>
        </w:rPr>
        <w:t xml:space="preserve"> </w:t>
      </w:r>
      <w:r>
        <w:rPr>
          <w:rStyle w:val="12"/>
          <w:rFonts w:hint="eastAsia" w:ascii="黑体" w:hAnsi="黑体" w:eastAsia="黑体"/>
          <w:b w:val="0"/>
          <w:sz w:val="32"/>
          <w:szCs w:val="32"/>
        </w:rPr>
        <w:t>矿产资源勘查与开发利用</w:t>
      </w:r>
      <w:r>
        <w:rPr>
          <w:rFonts w:ascii="楷体_GB2312" w:hAnsi="黑体" w:eastAsia="楷体_GB2312"/>
          <w:b w:val="0"/>
          <w:sz w:val="32"/>
          <w:szCs w:val="32"/>
        </w:rPr>
        <w:tab/>
      </w:r>
      <w:r>
        <w:rPr>
          <w:rFonts w:hint="eastAsia" w:ascii="楷体_GB2312" w:hAnsi="黑体" w:eastAsia="楷体_GB2312"/>
          <w:b w:val="0"/>
          <w:sz w:val="32"/>
          <w:szCs w:val="32"/>
        </w:rPr>
        <w:fldChar w:fldCharType="begin"/>
      </w:r>
      <w:r>
        <w:rPr>
          <w:rFonts w:ascii="楷体_GB2312" w:hAnsi="黑体" w:eastAsia="楷体_GB2312"/>
          <w:b w:val="0"/>
          <w:sz w:val="32"/>
          <w:szCs w:val="32"/>
        </w:rPr>
        <w:instrText xml:space="preserve"> PAGEREF _Toc106610322 \h </w:instrText>
      </w:r>
      <w:r>
        <w:rPr>
          <w:rFonts w:hint="eastAsia" w:ascii="楷体_GB2312" w:hAnsi="黑体" w:eastAsia="楷体_GB2312"/>
          <w:b w:val="0"/>
          <w:sz w:val="32"/>
          <w:szCs w:val="32"/>
        </w:rPr>
        <w:fldChar w:fldCharType="separate"/>
      </w:r>
      <w:r>
        <w:rPr>
          <w:rFonts w:ascii="楷体_GB2312" w:hAnsi="黑体" w:eastAsia="楷体_GB2312"/>
          <w:b w:val="0"/>
          <w:sz w:val="32"/>
          <w:szCs w:val="32"/>
        </w:rPr>
        <w:t>27</w:t>
      </w:r>
      <w:r>
        <w:rPr>
          <w:rFonts w:hint="eastAsia" w:ascii="楷体_GB2312" w:hAnsi="黑体" w:eastAsia="楷体_GB2312"/>
          <w:b w:val="0"/>
          <w:sz w:val="32"/>
          <w:szCs w:val="32"/>
        </w:rPr>
        <w:fldChar w:fldCharType="end"/>
      </w:r>
      <w:r>
        <w:rPr>
          <w:rFonts w:ascii="楷体_GB2312" w:hAnsi="黑体" w:eastAsia="楷体_GB2312"/>
          <w:b w:val="0"/>
          <w:sz w:val="32"/>
          <w:szCs w:val="32"/>
        </w:rPr>
        <w:fldChar w:fldCharType="end"/>
      </w:r>
    </w:p>
    <w:p>
      <w:pPr>
        <w:pStyle w:val="9"/>
        <w:tabs>
          <w:tab w:val="right" w:leader="dot" w:pos="8296"/>
        </w:tabs>
        <w:spacing w:line="560" w:lineRule="exact"/>
        <w:ind w:firstLine="640"/>
        <w:contextualSpacing/>
        <w:rPr>
          <w:rFonts w:ascii="楷体_GB2312" w:hAnsi="黑体" w:eastAsia="楷体_GB2312" w:cs="Times New Roman"/>
          <w:smallCaps w:val="0"/>
          <w:color w:val="auto"/>
          <w:sz w:val="32"/>
          <w:szCs w:val="32"/>
        </w:rPr>
      </w:pPr>
      <w:r>
        <w:rPr>
          <w:sz w:val="32"/>
          <w:szCs w:val="32"/>
        </w:rPr>
        <w:fldChar w:fldCharType="begin"/>
      </w:r>
      <w:r>
        <w:rPr>
          <w:sz w:val="32"/>
          <w:szCs w:val="32"/>
        </w:rPr>
        <w:instrText xml:space="preserve"> HYPERLINK \l "_Toc106610323" </w:instrText>
      </w:r>
      <w:r>
        <w:rPr>
          <w:sz w:val="32"/>
          <w:szCs w:val="32"/>
        </w:rPr>
        <w:fldChar w:fldCharType="separate"/>
      </w:r>
      <w:r>
        <w:rPr>
          <w:rStyle w:val="12"/>
          <w:rFonts w:hint="eastAsia" w:ascii="楷体_GB2312" w:hAnsi="黑体" w:eastAsia="楷体_GB2312"/>
          <w:sz w:val="32"/>
          <w:szCs w:val="32"/>
        </w:rPr>
        <w:t>第一节</w:t>
      </w:r>
      <w:r>
        <w:rPr>
          <w:rStyle w:val="12"/>
          <w:rFonts w:ascii="楷体_GB2312" w:hAnsi="黑体" w:eastAsia="楷体_GB2312"/>
          <w:sz w:val="32"/>
          <w:szCs w:val="32"/>
        </w:rPr>
        <w:t xml:space="preserve"> </w:t>
      </w:r>
      <w:r>
        <w:rPr>
          <w:rStyle w:val="12"/>
          <w:rFonts w:hint="eastAsia" w:ascii="楷体_GB2312" w:hAnsi="黑体" w:eastAsia="楷体_GB2312"/>
          <w:sz w:val="32"/>
          <w:szCs w:val="32"/>
        </w:rPr>
        <w:t>矿产资源勘查开发调控方向</w:t>
      </w:r>
      <w:r>
        <w:rPr>
          <w:rFonts w:ascii="楷体_GB2312" w:hAnsi="黑体" w:eastAsia="楷体_GB2312"/>
          <w:sz w:val="32"/>
          <w:szCs w:val="32"/>
        </w:rPr>
        <w:tab/>
      </w:r>
      <w:r>
        <w:rPr>
          <w:rFonts w:hint="eastAsia" w:ascii="楷体_GB2312" w:hAnsi="黑体" w:eastAsia="楷体_GB2312"/>
          <w:sz w:val="32"/>
          <w:szCs w:val="32"/>
        </w:rPr>
        <w:fldChar w:fldCharType="begin"/>
      </w:r>
      <w:r>
        <w:rPr>
          <w:rFonts w:ascii="楷体_GB2312" w:hAnsi="黑体" w:eastAsia="楷体_GB2312"/>
          <w:sz w:val="32"/>
          <w:szCs w:val="32"/>
        </w:rPr>
        <w:instrText xml:space="preserve"> PAGEREF _Toc106610323 \h </w:instrText>
      </w:r>
      <w:r>
        <w:rPr>
          <w:rFonts w:hint="eastAsia" w:ascii="楷体_GB2312" w:hAnsi="黑体" w:eastAsia="楷体_GB2312"/>
          <w:sz w:val="32"/>
          <w:szCs w:val="32"/>
        </w:rPr>
        <w:fldChar w:fldCharType="separate"/>
      </w:r>
      <w:r>
        <w:rPr>
          <w:rFonts w:ascii="楷体_GB2312" w:hAnsi="黑体" w:eastAsia="楷体_GB2312"/>
          <w:sz w:val="32"/>
          <w:szCs w:val="32"/>
        </w:rPr>
        <w:t>27</w:t>
      </w:r>
      <w:r>
        <w:rPr>
          <w:rFonts w:hint="eastAsia" w:ascii="楷体_GB2312" w:hAnsi="黑体" w:eastAsia="楷体_GB2312"/>
          <w:sz w:val="32"/>
          <w:szCs w:val="32"/>
        </w:rPr>
        <w:fldChar w:fldCharType="end"/>
      </w:r>
      <w:r>
        <w:rPr>
          <w:rFonts w:ascii="楷体_GB2312" w:hAnsi="黑体" w:eastAsia="楷体_GB2312"/>
          <w:sz w:val="32"/>
          <w:szCs w:val="32"/>
        </w:rPr>
        <w:fldChar w:fldCharType="end"/>
      </w:r>
    </w:p>
    <w:p>
      <w:pPr>
        <w:pStyle w:val="9"/>
        <w:tabs>
          <w:tab w:val="right" w:leader="dot" w:pos="8296"/>
        </w:tabs>
        <w:spacing w:line="560" w:lineRule="exact"/>
        <w:ind w:firstLine="640"/>
        <w:contextualSpacing/>
        <w:rPr>
          <w:rFonts w:ascii="楷体_GB2312" w:hAnsi="黑体" w:eastAsia="楷体_GB2312" w:cs="Times New Roman"/>
          <w:smallCaps w:val="0"/>
          <w:color w:val="auto"/>
          <w:sz w:val="32"/>
          <w:szCs w:val="32"/>
        </w:rPr>
      </w:pPr>
      <w:r>
        <w:rPr>
          <w:sz w:val="32"/>
          <w:szCs w:val="32"/>
        </w:rPr>
        <w:fldChar w:fldCharType="begin"/>
      </w:r>
      <w:r>
        <w:rPr>
          <w:sz w:val="32"/>
          <w:szCs w:val="32"/>
        </w:rPr>
        <w:instrText xml:space="preserve"> HYPERLINK \l "_Toc106610324" </w:instrText>
      </w:r>
      <w:r>
        <w:rPr>
          <w:sz w:val="32"/>
          <w:szCs w:val="32"/>
        </w:rPr>
        <w:fldChar w:fldCharType="separate"/>
      </w:r>
      <w:r>
        <w:rPr>
          <w:rStyle w:val="12"/>
          <w:rFonts w:hint="eastAsia" w:ascii="楷体_GB2312" w:hAnsi="黑体" w:eastAsia="楷体_GB2312"/>
          <w:sz w:val="32"/>
          <w:szCs w:val="32"/>
        </w:rPr>
        <w:t>第二节</w:t>
      </w:r>
      <w:r>
        <w:rPr>
          <w:rStyle w:val="12"/>
          <w:rFonts w:ascii="楷体_GB2312" w:hAnsi="黑体" w:eastAsia="楷体_GB2312"/>
          <w:sz w:val="32"/>
          <w:szCs w:val="32"/>
        </w:rPr>
        <w:t xml:space="preserve"> </w:t>
      </w:r>
      <w:r>
        <w:rPr>
          <w:rStyle w:val="12"/>
          <w:rFonts w:hint="eastAsia" w:ascii="楷体_GB2312" w:hAnsi="黑体" w:eastAsia="楷体_GB2312"/>
          <w:sz w:val="32"/>
          <w:szCs w:val="32"/>
        </w:rPr>
        <w:t>矿产资源调查评价与勘查</w:t>
      </w:r>
      <w:r>
        <w:rPr>
          <w:rFonts w:ascii="楷体_GB2312" w:hAnsi="黑体" w:eastAsia="楷体_GB2312"/>
          <w:sz w:val="32"/>
          <w:szCs w:val="32"/>
        </w:rPr>
        <w:tab/>
      </w:r>
      <w:r>
        <w:rPr>
          <w:rFonts w:hint="eastAsia" w:ascii="楷体_GB2312" w:hAnsi="黑体" w:eastAsia="楷体_GB2312"/>
          <w:sz w:val="32"/>
          <w:szCs w:val="32"/>
        </w:rPr>
        <w:fldChar w:fldCharType="begin"/>
      </w:r>
      <w:r>
        <w:rPr>
          <w:rFonts w:ascii="楷体_GB2312" w:hAnsi="黑体" w:eastAsia="楷体_GB2312"/>
          <w:sz w:val="32"/>
          <w:szCs w:val="32"/>
        </w:rPr>
        <w:instrText xml:space="preserve"> PAGEREF _Toc106610324 \h </w:instrText>
      </w:r>
      <w:r>
        <w:rPr>
          <w:rFonts w:hint="eastAsia" w:ascii="楷体_GB2312" w:hAnsi="黑体" w:eastAsia="楷体_GB2312"/>
          <w:sz w:val="32"/>
          <w:szCs w:val="32"/>
        </w:rPr>
        <w:fldChar w:fldCharType="separate"/>
      </w:r>
      <w:r>
        <w:rPr>
          <w:rFonts w:ascii="楷体_GB2312" w:hAnsi="黑体" w:eastAsia="楷体_GB2312"/>
          <w:sz w:val="32"/>
          <w:szCs w:val="32"/>
        </w:rPr>
        <w:t>28</w:t>
      </w:r>
      <w:r>
        <w:rPr>
          <w:rFonts w:hint="eastAsia" w:ascii="楷体_GB2312" w:hAnsi="黑体" w:eastAsia="楷体_GB2312"/>
          <w:sz w:val="32"/>
          <w:szCs w:val="32"/>
        </w:rPr>
        <w:fldChar w:fldCharType="end"/>
      </w:r>
      <w:r>
        <w:rPr>
          <w:rFonts w:ascii="楷体_GB2312" w:hAnsi="黑体" w:eastAsia="楷体_GB2312"/>
          <w:sz w:val="32"/>
          <w:szCs w:val="32"/>
        </w:rPr>
        <w:fldChar w:fldCharType="end"/>
      </w:r>
    </w:p>
    <w:p>
      <w:pPr>
        <w:pStyle w:val="9"/>
        <w:tabs>
          <w:tab w:val="right" w:leader="dot" w:pos="8296"/>
        </w:tabs>
        <w:spacing w:line="560" w:lineRule="exact"/>
        <w:ind w:firstLine="640"/>
        <w:contextualSpacing/>
        <w:rPr>
          <w:rFonts w:ascii="楷体_GB2312" w:hAnsi="黑体" w:eastAsia="楷体_GB2312" w:cs="Times New Roman"/>
          <w:smallCaps w:val="0"/>
          <w:color w:val="auto"/>
          <w:sz w:val="32"/>
          <w:szCs w:val="32"/>
        </w:rPr>
      </w:pPr>
      <w:r>
        <w:rPr>
          <w:sz w:val="32"/>
          <w:szCs w:val="32"/>
        </w:rPr>
        <w:fldChar w:fldCharType="begin"/>
      </w:r>
      <w:r>
        <w:rPr>
          <w:sz w:val="32"/>
          <w:szCs w:val="32"/>
        </w:rPr>
        <w:instrText xml:space="preserve"> HYPERLINK \l "_Toc106610325" </w:instrText>
      </w:r>
      <w:r>
        <w:rPr>
          <w:sz w:val="32"/>
          <w:szCs w:val="32"/>
        </w:rPr>
        <w:fldChar w:fldCharType="separate"/>
      </w:r>
      <w:r>
        <w:rPr>
          <w:rStyle w:val="12"/>
          <w:rFonts w:hint="eastAsia" w:ascii="楷体_GB2312" w:hAnsi="黑体" w:eastAsia="楷体_GB2312"/>
          <w:sz w:val="32"/>
          <w:szCs w:val="32"/>
        </w:rPr>
        <w:t>第三节</w:t>
      </w:r>
      <w:r>
        <w:rPr>
          <w:rStyle w:val="12"/>
          <w:rFonts w:ascii="楷体_GB2312" w:hAnsi="黑体" w:eastAsia="楷体_GB2312"/>
          <w:sz w:val="32"/>
          <w:szCs w:val="32"/>
        </w:rPr>
        <w:t xml:space="preserve"> </w:t>
      </w:r>
      <w:r>
        <w:rPr>
          <w:rStyle w:val="12"/>
          <w:rFonts w:hint="eastAsia" w:ascii="楷体_GB2312" w:hAnsi="黑体" w:eastAsia="楷体_GB2312"/>
          <w:sz w:val="32"/>
          <w:szCs w:val="32"/>
        </w:rPr>
        <w:t>矿山结构调整</w:t>
      </w:r>
      <w:r>
        <w:rPr>
          <w:rFonts w:ascii="楷体_GB2312" w:hAnsi="黑体" w:eastAsia="楷体_GB2312"/>
          <w:sz w:val="32"/>
          <w:szCs w:val="32"/>
        </w:rPr>
        <w:tab/>
      </w:r>
      <w:r>
        <w:rPr>
          <w:rFonts w:hint="eastAsia" w:ascii="楷体_GB2312" w:hAnsi="黑体" w:eastAsia="楷体_GB2312"/>
          <w:sz w:val="32"/>
          <w:szCs w:val="32"/>
        </w:rPr>
        <w:fldChar w:fldCharType="begin"/>
      </w:r>
      <w:r>
        <w:rPr>
          <w:rFonts w:ascii="楷体_GB2312" w:hAnsi="黑体" w:eastAsia="楷体_GB2312"/>
          <w:sz w:val="32"/>
          <w:szCs w:val="32"/>
        </w:rPr>
        <w:instrText xml:space="preserve"> PAGEREF _Toc106610325 \h </w:instrText>
      </w:r>
      <w:r>
        <w:rPr>
          <w:rFonts w:hint="eastAsia" w:ascii="楷体_GB2312" w:hAnsi="黑体" w:eastAsia="楷体_GB2312"/>
          <w:sz w:val="32"/>
          <w:szCs w:val="32"/>
        </w:rPr>
        <w:fldChar w:fldCharType="separate"/>
      </w:r>
      <w:r>
        <w:rPr>
          <w:rFonts w:ascii="楷体_GB2312" w:hAnsi="黑体" w:eastAsia="楷体_GB2312"/>
          <w:sz w:val="32"/>
          <w:szCs w:val="32"/>
        </w:rPr>
        <w:t>29</w:t>
      </w:r>
      <w:r>
        <w:rPr>
          <w:rFonts w:hint="eastAsia" w:ascii="楷体_GB2312" w:hAnsi="黑体" w:eastAsia="楷体_GB2312"/>
          <w:sz w:val="32"/>
          <w:szCs w:val="32"/>
        </w:rPr>
        <w:fldChar w:fldCharType="end"/>
      </w:r>
      <w:r>
        <w:rPr>
          <w:rFonts w:ascii="楷体_GB2312" w:hAnsi="黑体" w:eastAsia="楷体_GB2312"/>
          <w:sz w:val="32"/>
          <w:szCs w:val="32"/>
        </w:rPr>
        <w:fldChar w:fldCharType="end"/>
      </w:r>
    </w:p>
    <w:p>
      <w:pPr>
        <w:pStyle w:val="9"/>
        <w:tabs>
          <w:tab w:val="right" w:leader="dot" w:pos="8296"/>
        </w:tabs>
        <w:spacing w:line="560" w:lineRule="exact"/>
        <w:ind w:firstLine="640"/>
        <w:contextualSpacing/>
        <w:rPr>
          <w:rFonts w:ascii="楷体_GB2312" w:hAnsi="黑体" w:eastAsia="楷体_GB2312" w:cs="Times New Roman"/>
          <w:smallCaps w:val="0"/>
          <w:color w:val="auto"/>
          <w:sz w:val="32"/>
          <w:szCs w:val="32"/>
        </w:rPr>
      </w:pPr>
      <w:r>
        <w:rPr>
          <w:sz w:val="32"/>
          <w:szCs w:val="32"/>
        </w:rPr>
        <w:fldChar w:fldCharType="begin"/>
      </w:r>
      <w:r>
        <w:rPr>
          <w:sz w:val="32"/>
          <w:szCs w:val="32"/>
        </w:rPr>
        <w:instrText xml:space="preserve"> HYPERLINK \l "_Toc106610326" </w:instrText>
      </w:r>
      <w:r>
        <w:rPr>
          <w:sz w:val="32"/>
          <w:szCs w:val="32"/>
        </w:rPr>
        <w:fldChar w:fldCharType="separate"/>
      </w:r>
      <w:r>
        <w:rPr>
          <w:rStyle w:val="12"/>
          <w:rFonts w:hint="eastAsia" w:ascii="楷体_GB2312" w:hAnsi="黑体" w:eastAsia="楷体_GB2312"/>
          <w:sz w:val="32"/>
          <w:szCs w:val="32"/>
        </w:rPr>
        <w:t>第四节</w:t>
      </w:r>
      <w:r>
        <w:rPr>
          <w:rStyle w:val="12"/>
          <w:rFonts w:ascii="楷体_GB2312" w:hAnsi="黑体" w:eastAsia="楷体_GB2312"/>
          <w:sz w:val="32"/>
          <w:szCs w:val="32"/>
        </w:rPr>
        <w:t xml:space="preserve"> </w:t>
      </w:r>
      <w:r>
        <w:rPr>
          <w:rStyle w:val="12"/>
          <w:rFonts w:hint="eastAsia" w:ascii="楷体_GB2312" w:hAnsi="黑体" w:eastAsia="楷体_GB2312"/>
          <w:sz w:val="32"/>
          <w:szCs w:val="32"/>
        </w:rPr>
        <w:t>节约与综合利用</w:t>
      </w:r>
      <w:r>
        <w:rPr>
          <w:rFonts w:ascii="楷体_GB2312" w:hAnsi="黑体" w:eastAsia="楷体_GB2312"/>
          <w:sz w:val="32"/>
          <w:szCs w:val="32"/>
        </w:rPr>
        <w:tab/>
      </w:r>
      <w:r>
        <w:rPr>
          <w:rFonts w:hint="eastAsia" w:ascii="楷体_GB2312" w:hAnsi="黑体" w:eastAsia="楷体_GB2312"/>
          <w:sz w:val="32"/>
          <w:szCs w:val="32"/>
        </w:rPr>
        <w:fldChar w:fldCharType="begin"/>
      </w:r>
      <w:r>
        <w:rPr>
          <w:rFonts w:ascii="楷体_GB2312" w:hAnsi="黑体" w:eastAsia="楷体_GB2312"/>
          <w:sz w:val="32"/>
          <w:szCs w:val="32"/>
        </w:rPr>
        <w:instrText xml:space="preserve"> PAGEREF _Toc106610326 \h </w:instrText>
      </w:r>
      <w:r>
        <w:rPr>
          <w:rFonts w:hint="eastAsia" w:ascii="楷体_GB2312" w:hAnsi="黑体" w:eastAsia="楷体_GB2312"/>
          <w:sz w:val="32"/>
          <w:szCs w:val="32"/>
        </w:rPr>
        <w:fldChar w:fldCharType="separate"/>
      </w:r>
      <w:r>
        <w:rPr>
          <w:rFonts w:ascii="楷体_GB2312" w:hAnsi="黑体" w:eastAsia="楷体_GB2312"/>
          <w:sz w:val="32"/>
          <w:szCs w:val="32"/>
        </w:rPr>
        <w:t>33</w:t>
      </w:r>
      <w:r>
        <w:rPr>
          <w:rFonts w:hint="eastAsia" w:ascii="楷体_GB2312" w:hAnsi="黑体" w:eastAsia="楷体_GB2312"/>
          <w:sz w:val="32"/>
          <w:szCs w:val="32"/>
        </w:rPr>
        <w:fldChar w:fldCharType="end"/>
      </w:r>
      <w:r>
        <w:rPr>
          <w:rFonts w:ascii="楷体_GB2312" w:hAnsi="黑体" w:eastAsia="楷体_GB2312"/>
          <w:sz w:val="32"/>
          <w:szCs w:val="32"/>
        </w:rPr>
        <w:fldChar w:fldCharType="end"/>
      </w:r>
    </w:p>
    <w:p>
      <w:pPr>
        <w:pStyle w:val="8"/>
        <w:tabs>
          <w:tab w:val="right" w:leader="dot" w:pos="8296"/>
        </w:tabs>
        <w:spacing w:before="0" w:after="0" w:line="560" w:lineRule="exact"/>
        <w:ind w:firstLine="643"/>
        <w:contextualSpacing/>
        <w:rPr>
          <w:rFonts w:ascii="楷体_GB2312" w:hAnsi="黑体" w:eastAsia="楷体_GB2312" w:cs="Times New Roman"/>
          <w:b w:val="0"/>
          <w:bCs w:val="0"/>
          <w:caps w:val="0"/>
          <w:color w:val="auto"/>
          <w:sz w:val="32"/>
          <w:szCs w:val="32"/>
        </w:rPr>
      </w:pPr>
      <w:r>
        <w:rPr>
          <w:sz w:val="32"/>
          <w:szCs w:val="32"/>
        </w:rPr>
        <w:fldChar w:fldCharType="begin"/>
      </w:r>
      <w:r>
        <w:rPr>
          <w:sz w:val="32"/>
          <w:szCs w:val="32"/>
        </w:rPr>
        <w:instrText xml:space="preserve"> HYPERLINK \l "_Toc106610327" </w:instrText>
      </w:r>
      <w:r>
        <w:rPr>
          <w:sz w:val="32"/>
          <w:szCs w:val="32"/>
        </w:rPr>
        <w:fldChar w:fldCharType="separate"/>
      </w:r>
      <w:r>
        <w:rPr>
          <w:rStyle w:val="12"/>
          <w:rFonts w:hint="eastAsia" w:ascii="黑体" w:hAnsi="黑体" w:eastAsia="黑体"/>
          <w:b w:val="0"/>
          <w:sz w:val="32"/>
          <w:szCs w:val="32"/>
        </w:rPr>
        <w:t>第五章</w:t>
      </w:r>
      <w:r>
        <w:rPr>
          <w:rStyle w:val="12"/>
          <w:rFonts w:ascii="黑体" w:hAnsi="黑体" w:eastAsia="黑体"/>
          <w:b w:val="0"/>
          <w:sz w:val="32"/>
          <w:szCs w:val="32"/>
        </w:rPr>
        <w:t xml:space="preserve"> </w:t>
      </w:r>
      <w:r>
        <w:rPr>
          <w:rStyle w:val="12"/>
          <w:rFonts w:hint="eastAsia" w:ascii="黑体" w:hAnsi="黑体" w:eastAsia="黑体"/>
          <w:b w:val="0"/>
          <w:sz w:val="32"/>
          <w:szCs w:val="32"/>
        </w:rPr>
        <w:t>矿业权设置区划及监督管理</w:t>
      </w:r>
      <w:r>
        <w:rPr>
          <w:rFonts w:ascii="楷体_GB2312" w:hAnsi="黑体" w:eastAsia="楷体_GB2312"/>
          <w:b w:val="0"/>
          <w:sz w:val="32"/>
          <w:szCs w:val="32"/>
        </w:rPr>
        <w:tab/>
      </w:r>
      <w:r>
        <w:rPr>
          <w:rFonts w:hint="eastAsia" w:ascii="楷体_GB2312" w:hAnsi="黑体" w:eastAsia="楷体_GB2312"/>
          <w:b w:val="0"/>
          <w:sz w:val="32"/>
          <w:szCs w:val="32"/>
        </w:rPr>
        <w:fldChar w:fldCharType="begin"/>
      </w:r>
      <w:r>
        <w:rPr>
          <w:rFonts w:ascii="楷体_GB2312" w:hAnsi="黑体" w:eastAsia="楷体_GB2312"/>
          <w:b w:val="0"/>
          <w:sz w:val="32"/>
          <w:szCs w:val="32"/>
        </w:rPr>
        <w:instrText xml:space="preserve"> PAGEREF _Toc106610327 \h </w:instrText>
      </w:r>
      <w:r>
        <w:rPr>
          <w:rFonts w:hint="eastAsia" w:ascii="楷体_GB2312" w:hAnsi="黑体" w:eastAsia="楷体_GB2312"/>
          <w:b w:val="0"/>
          <w:sz w:val="32"/>
          <w:szCs w:val="32"/>
        </w:rPr>
        <w:fldChar w:fldCharType="separate"/>
      </w:r>
      <w:r>
        <w:rPr>
          <w:rFonts w:ascii="楷体_GB2312" w:hAnsi="黑体" w:eastAsia="楷体_GB2312"/>
          <w:b w:val="0"/>
          <w:sz w:val="32"/>
          <w:szCs w:val="32"/>
        </w:rPr>
        <w:t>35</w:t>
      </w:r>
      <w:r>
        <w:rPr>
          <w:rFonts w:hint="eastAsia" w:ascii="楷体_GB2312" w:hAnsi="黑体" w:eastAsia="楷体_GB2312"/>
          <w:b w:val="0"/>
          <w:sz w:val="32"/>
          <w:szCs w:val="32"/>
        </w:rPr>
        <w:fldChar w:fldCharType="end"/>
      </w:r>
      <w:r>
        <w:rPr>
          <w:rFonts w:ascii="楷体_GB2312" w:hAnsi="黑体" w:eastAsia="楷体_GB2312"/>
          <w:b w:val="0"/>
          <w:sz w:val="32"/>
          <w:szCs w:val="32"/>
        </w:rPr>
        <w:fldChar w:fldCharType="end"/>
      </w:r>
    </w:p>
    <w:p>
      <w:pPr>
        <w:pStyle w:val="9"/>
        <w:tabs>
          <w:tab w:val="right" w:leader="dot" w:pos="8296"/>
        </w:tabs>
        <w:spacing w:line="560" w:lineRule="exact"/>
        <w:ind w:firstLine="640"/>
        <w:contextualSpacing/>
        <w:rPr>
          <w:rFonts w:ascii="楷体_GB2312" w:hAnsi="黑体" w:eastAsia="楷体_GB2312" w:cs="Times New Roman"/>
          <w:smallCaps w:val="0"/>
          <w:color w:val="auto"/>
          <w:sz w:val="32"/>
          <w:szCs w:val="32"/>
        </w:rPr>
      </w:pPr>
      <w:r>
        <w:rPr>
          <w:sz w:val="32"/>
          <w:szCs w:val="32"/>
        </w:rPr>
        <w:fldChar w:fldCharType="begin"/>
      </w:r>
      <w:r>
        <w:rPr>
          <w:sz w:val="32"/>
          <w:szCs w:val="32"/>
        </w:rPr>
        <w:instrText xml:space="preserve"> HYPERLINK \l "_Toc106610328" </w:instrText>
      </w:r>
      <w:r>
        <w:rPr>
          <w:sz w:val="32"/>
          <w:szCs w:val="32"/>
        </w:rPr>
        <w:fldChar w:fldCharType="separate"/>
      </w:r>
      <w:r>
        <w:rPr>
          <w:rStyle w:val="12"/>
          <w:rFonts w:hint="eastAsia" w:ascii="楷体_GB2312" w:hAnsi="黑体" w:eastAsia="楷体_GB2312"/>
          <w:sz w:val="32"/>
          <w:szCs w:val="32"/>
        </w:rPr>
        <w:t>第一节</w:t>
      </w:r>
      <w:r>
        <w:rPr>
          <w:rStyle w:val="12"/>
          <w:rFonts w:ascii="楷体_GB2312" w:hAnsi="黑体" w:eastAsia="楷体_GB2312"/>
          <w:sz w:val="32"/>
          <w:szCs w:val="32"/>
        </w:rPr>
        <w:t xml:space="preserve"> </w:t>
      </w:r>
      <w:r>
        <w:rPr>
          <w:rStyle w:val="12"/>
          <w:rFonts w:hint="eastAsia" w:ascii="楷体_GB2312" w:hAnsi="黑体" w:eastAsia="楷体_GB2312"/>
          <w:sz w:val="32"/>
          <w:szCs w:val="32"/>
        </w:rPr>
        <w:t>勘查规划区块</w:t>
      </w:r>
      <w:r>
        <w:rPr>
          <w:rFonts w:ascii="楷体_GB2312" w:hAnsi="黑体" w:eastAsia="楷体_GB2312"/>
          <w:sz w:val="32"/>
          <w:szCs w:val="32"/>
        </w:rPr>
        <w:tab/>
      </w:r>
      <w:r>
        <w:rPr>
          <w:rFonts w:hint="eastAsia" w:ascii="楷体_GB2312" w:hAnsi="黑体" w:eastAsia="楷体_GB2312"/>
          <w:sz w:val="32"/>
          <w:szCs w:val="32"/>
        </w:rPr>
        <w:fldChar w:fldCharType="begin"/>
      </w:r>
      <w:r>
        <w:rPr>
          <w:rFonts w:ascii="楷体_GB2312" w:hAnsi="黑体" w:eastAsia="楷体_GB2312"/>
          <w:sz w:val="32"/>
          <w:szCs w:val="32"/>
        </w:rPr>
        <w:instrText xml:space="preserve"> PAGEREF _Toc106610328 \h </w:instrText>
      </w:r>
      <w:r>
        <w:rPr>
          <w:rFonts w:hint="eastAsia" w:ascii="楷体_GB2312" w:hAnsi="黑体" w:eastAsia="楷体_GB2312"/>
          <w:sz w:val="32"/>
          <w:szCs w:val="32"/>
        </w:rPr>
        <w:fldChar w:fldCharType="separate"/>
      </w:r>
      <w:r>
        <w:rPr>
          <w:rFonts w:ascii="楷体_GB2312" w:hAnsi="黑体" w:eastAsia="楷体_GB2312"/>
          <w:sz w:val="32"/>
          <w:szCs w:val="32"/>
        </w:rPr>
        <w:t>35</w:t>
      </w:r>
      <w:r>
        <w:rPr>
          <w:rFonts w:hint="eastAsia" w:ascii="楷体_GB2312" w:hAnsi="黑体" w:eastAsia="楷体_GB2312"/>
          <w:sz w:val="32"/>
          <w:szCs w:val="32"/>
        </w:rPr>
        <w:fldChar w:fldCharType="end"/>
      </w:r>
      <w:r>
        <w:rPr>
          <w:rFonts w:ascii="楷体_GB2312" w:hAnsi="黑体" w:eastAsia="楷体_GB2312"/>
          <w:sz w:val="32"/>
          <w:szCs w:val="32"/>
        </w:rPr>
        <w:fldChar w:fldCharType="end"/>
      </w:r>
    </w:p>
    <w:p>
      <w:pPr>
        <w:pStyle w:val="9"/>
        <w:tabs>
          <w:tab w:val="right" w:leader="dot" w:pos="8296"/>
        </w:tabs>
        <w:spacing w:line="560" w:lineRule="exact"/>
        <w:ind w:firstLine="640"/>
        <w:contextualSpacing/>
        <w:rPr>
          <w:rFonts w:ascii="楷体_GB2312" w:hAnsi="黑体" w:eastAsia="楷体_GB2312" w:cs="Times New Roman"/>
          <w:smallCaps w:val="0"/>
          <w:color w:val="auto"/>
          <w:sz w:val="32"/>
          <w:szCs w:val="32"/>
        </w:rPr>
      </w:pPr>
      <w:r>
        <w:rPr>
          <w:sz w:val="32"/>
          <w:szCs w:val="32"/>
        </w:rPr>
        <w:fldChar w:fldCharType="begin"/>
      </w:r>
      <w:r>
        <w:rPr>
          <w:sz w:val="32"/>
          <w:szCs w:val="32"/>
        </w:rPr>
        <w:instrText xml:space="preserve"> HYPERLINK \l "_Toc106610329" </w:instrText>
      </w:r>
      <w:r>
        <w:rPr>
          <w:sz w:val="32"/>
          <w:szCs w:val="32"/>
        </w:rPr>
        <w:fldChar w:fldCharType="separate"/>
      </w:r>
      <w:r>
        <w:rPr>
          <w:rStyle w:val="12"/>
          <w:rFonts w:hint="eastAsia" w:ascii="楷体_GB2312" w:hAnsi="黑体" w:eastAsia="楷体_GB2312"/>
          <w:sz w:val="32"/>
          <w:szCs w:val="32"/>
        </w:rPr>
        <w:t>第二节</w:t>
      </w:r>
      <w:r>
        <w:rPr>
          <w:rStyle w:val="12"/>
          <w:rFonts w:ascii="楷体_GB2312" w:hAnsi="黑体" w:eastAsia="楷体_GB2312"/>
          <w:sz w:val="32"/>
          <w:szCs w:val="32"/>
        </w:rPr>
        <w:t xml:space="preserve"> </w:t>
      </w:r>
      <w:r>
        <w:rPr>
          <w:rStyle w:val="12"/>
          <w:rFonts w:hint="eastAsia" w:ascii="楷体_GB2312" w:hAnsi="黑体" w:eastAsia="楷体_GB2312"/>
          <w:sz w:val="32"/>
          <w:szCs w:val="32"/>
        </w:rPr>
        <w:t>开采规划区块</w:t>
      </w:r>
      <w:r>
        <w:rPr>
          <w:rFonts w:ascii="楷体_GB2312" w:hAnsi="黑体" w:eastAsia="楷体_GB2312"/>
          <w:sz w:val="32"/>
          <w:szCs w:val="32"/>
        </w:rPr>
        <w:tab/>
      </w:r>
      <w:r>
        <w:rPr>
          <w:rFonts w:hint="eastAsia" w:ascii="楷体_GB2312" w:hAnsi="黑体" w:eastAsia="楷体_GB2312"/>
          <w:sz w:val="32"/>
          <w:szCs w:val="32"/>
        </w:rPr>
        <w:fldChar w:fldCharType="begin"/>
      </w:r>
      <w:r>
        <w:rPr>
          <w:rFonts w:ascii="楷体_GB2312" w:hAnsi="黑体" w:eastAsia="楷体_GB2312"/>
          <w:sz w:val="32"/>
          <w:szCs w:val="32"/>
        </w:rPr>
        <w:instrText xml:space="preserve"> PAGEREF _Toc106610329 \h </w:instrText>
      </w:r>
      <w:r>
        <w:rPr>
          <w:rFonts w:hint="eastAsia" w:ascii="楷体_GB2312" w:hAnsi="黑体" w:eastAsia="楷体_GB2312"/>
          <w:sz w:val="32"/>
          <w:szCs w:val="32"/>
        </w:rPr>
        <w:fldChar w:fldCharType="separate"/>
      </w:r>
      <w:r>
        <w:rPr>
          <w:rFonts w:ascii="楷体_GB2312" w:hAnsi="黑体" w:eastAsia="楷体_GB2312"/>
          <w:sz w:val="32"/>
          <w:szCs w:val="32"/>
        </w:rPr>
        <w:t>37</w:t>
      </w:r>
      <w:r>
        <w:rPr>
          <w:rFonts w:hint="eastAsia" w:ascii="楷体_GB2312" w:hAnsi="黑体" w:eastAsia="楷体_GB2312"/>
          <w:sz w:val="32"/>
          <w:szCs w:val="32"/>
        </w:rPr>
        <w:fldChar w:fldCharType="end"/>
      </w:r>
      <w:r>
        <w:rPr>
          <w:rFonts w:ascii="楷体_GB2312" w:hAnsi="黑体" w:eastAsia="楷体_GB2312"/>
          <w:sz w:val="32"/>
          <w:szCs w:val="32"/>
        </w:rPr>
        <w:fldChar w:fldCharType="end"/>
      </w:r>
    </w:p>
    <w:p>
      <w:pPr>
        <w:pStyle w:val="9"/>
        <w:tabs>
          <w:tab w:val="right" w:leader="dot" w:pos="8296"/>
        </w:tabs>
        <w:spacing w:line="560" w:lineRule="exact"/>
        <w:ind w:firstLine="640"/>
        <w:contextualSpacing/>
        <w:rPr>
          <w:rFonts w:ascii="楷体_GB2312" w:hAnsi="黑体" w:eastAsia="楷体_GB2312" w:cs="Times New Roman"/>
          <w:smallCaps w:val="0"/>
          <w:color w:val="auto"/>
          <w:sz w:val="32"/>
          <w:szCs w:val="32"/>
        </w:rPr>
      </w:pPr>
      <w:r>
        <w:rPr>
          <w:sz w:val="32"/>
          <w:szCs w:val="32"/>
        </w:rPr>
        <w:fldChar w:fldCharType="begin"/>
      </w:r>
      <w:r>
        <w:rPr>
          <w:sz w:val="32"/>
          <w:szCs w:val="32"/>
        </w:rPr>
        <w:instrText xml:space="preserve"> HYPERLINK \l "_Toc106610330" </w:instrText>
      </w:r>
      <w:r>
        <w:rPr>
          <w:sz w:val="32"/>
          <w:szCs w:val="32"/>
        </w:rPr>
        <w:fldChar w:fldCharType="separate"/>
      </w:r>
      <w:r>
        <w:rPr>
          <w:rStyle w:val="12"/>
          <w:rFonts w:hint="eastAsia" w:ascii="楷体_GB2312" w:hAnsi="黑体" w:eastAsia="楷体_GB2312"/>
          <w:sz w:val="32"/>
          <w:szCs w:val="32"/>
        </w:rPr>
        <w:t>第三节</w:t>
      </w:r>
      <w:r>
        <w:rPr>
          <w:rStyle w:val="12"/>
          <w:rFonts w:ascii="楷体_GB2312" w:hAnsi="黑体" w:eastAsia="楷体_GB2312"/>
          <w:sz w:val="32"/>
          <w:szCs w:val="32"/>
        </w:rPr>
        <w:t xml:space="preserve"> </w:t>
      </w:r>
      <w:r>
        <w:rPr>
          <w:rStyle w:val="12"/>
          <w:rFonts w:hint="eastAsia" w:ascii="楷体_GB2312" w:hAnsi="黑体" w:eastAsia="楷体_GB2312"/>
          <w:sz w:val="32"/>
          <w:szCs w:val="32"/>
        </w:rPr>
        <w:t>严格开采规划准入管理</w:t>
      </w:r>
      <w:r>
        <w:rPr>
          <w:rFonts w:ascii="楷体_GB2312" w:hAnsi="黑体" w:eastAsia="楷体_GB2312"/>
          <w:sz w:val="32"/>
          <w:szCs w:val="32"/>
        </w:rPr>
        <w:tab/>
      </w:r>
      <w:r>
        <w:rPr>
          <w:rFonts w:hint="eastAsia" w:ascii="楷体_GB2312" w:hAnsi="黑体" w:eastAsia="楷体_GB2312"/>
          <w:sz w:val="32"/>
          <w:szCs w:val="32"/>
        </w:rPr>
        <w:fldChar w:fldCharType="begin"/>
      </w:r>
      <w:r>
        <w:rPr>
          <w:rFonts w:ascii="楷体_GB2312" w:hAnsi="黑体" w:eastAsia="楷体_GB2312"/>
          <w:sz w:val="32"/>
          <w:szCs w:val="32"/>
        </w:rPr>
        <w:instrText xml:space="preserve"> PAGEREF _Toc106610330 \h </w:instrText>
      </w:r>
      <w:r>
        <w:rPr>
          <w:rFonts w:hint="eastAsia" w:ascii="楷体_GB2312" w:hAnsi="黑体" w:eastAsia="楷体_GB2312"/>
          <w:sz w:val="32"/>
          <w:szCs w:val="32"/>
        </w:rPr>
        <w:fldChar w:fldCharType="separate"/>
      </w:r>
      <w:r>
        <w:rPr>
          <w:rFonts w:ascii="楷体_GB2312" w:hAnsi="黑体" w:eastAsia="楷体_GB2312"/>
          <w:sz w:val="32"/>
          <w:szCs w:val="32"/>
        </w:rPr>
        <w:t>40</w:t>
      </w:r>
      <w:r>
        <w:rPr>
          <w:rFonts w:hint="eastAsia" w:ascii="楷体_GB2312" w:hAnsi="黑体" w:eastAsia="楷体_GB2312"/>
          <w:sz w:val="32"/>
          <w:szCs w:val="32"/>
        </w:rPr>
        <w:fldChar w:fldCharType="end"/>
      </w:r>
      <w:r>
        <w:rPr>
          <w:rFonts w:ascii="楷体_GB2312" w:hAnsi="黑体" w:eastAsia="楷体_GB2312"/>
          <w:sz w:val="32"/>
          <w:szCs w:val="32"/>
        </w:rPr>
        <w:fldChar w:fldCharType="end"/>
      </w:r>
    </w:p>
    <w:p>
      <w:pPr>
        <w:pStyle w:val="8"/>
        <w:tabs>
          <w:tab w:val="right" w:leader="dot" w:pos="8296"/>
        </w:tabs>
        <w:spacing w:before="0" w:after="0" w:line="560" w:lineRule="exact"/>
        <w:ind w:firstLine="643"/>
        <w:contextualSpacing/>
        <w:rPr>
          <w:rFonts w:ascii="楷体_GB2312" w:hAnsi="黑体" w:eastAsia="楷体_GB2312" w:cs="Times New Roman"/>
          <w:b w:val="0"/>
          <w:bCs w:val="0"/>
          <w:caps w:val="0"/>
          <w:color w:val="auto"/>
          <w:sz w:val="32"/>
          <w:szCs w:val="32"/>
        </w:rPr>
      </w:pPr>
      <w:r>
        <w:rPr>
          <w:sz w:val="32"/>
          <w:szCs w:val="32"/>
        </w:rPr>
        <w:fldChar w:fldCharType="begin"/>
      </w:r>
      <w:r>
        <w:rPr>
          <w:sz w:val="32"/>
          <w:szCs w:val="32"/>
        </w:rPr>
        <w:instrText xml:space="preserve"> HYPERLINK \l "_Toc106610331" </w:instrText>
      </w:r>
      <w:r>
        <w:rPr>
          <w:sz w:val="32"/>
          <w:szCs w:val="32"/>
        </w:rPr>
        <w:fldChar w:fldCharType="separate"/>
      </w:r>
      <w:r>
        <w:rPr>
          <w:rStyle w:val="12"/>
          <w:rFonts w:hint="eastAsia" w:ascii="黑体" w:hAnsi="黑体" w:eastAsia="黑体"/>
          <w:b w:val="0"/>
          <w:sz w:val="32"/>
          <w:szCs w:val="32"/>
        </w:rPr>
        <w:t>第六章</w:t>
      </w:r>
      <w:r>
        <w:rPr>
          <w:rStyle w:val="12"/>
          <w:rFonts w:ascii="黑体" w:hAnsi="黑体" w:eastAsia="黑体"/>
          <w:b w:val="0"/>
          <w:sz w:val="32"/>
          <w:szCs w:val="32"/>
        </w:rPr>
        <w:t xml:space="preserve"> </w:t>
      </w:r>
      <w:r>
        <w:rPr>
          <w:rStyle w:val="12"/>
          <w:rFonts w:hint="eastAsia" w:ascii="黑体" w:hAnsi="黑体" w:eastAsia="黑体"/>
          <w:b w:val="0"/>
          <w:sz w:val="32"/>
          <w:szCs w:val="32"/>
        </w:rPr>
        <w:t>绿色矿山建设与矿山地质环境</w:t>
      </w:r>
      <w:r>
        <w:rPr>
          <w:rFonts w:ascii="楷体_GB2312" w:hAnsi="黑体" w:eastAsia="楷体_GB2312"/>
          <w:b w:val="0"/>
          <w:sz w:val="32"/>
          <w:szCs w:val="32"/>
        </w:rPr>
        <w:tab/>
      </w:r>
      <w:r>
        <w:rPr>
          <w:rFonts w:hint="eastAsia" w:ascii="楷体_GB2312" w:hAnsi="黑体" w:eastAsia="楷体_GB2312"/>
          <w:b w:val="0"/>
          <w:sz w:val="32"/>
          <w:szCs w:val="32"/>
        </w:rPr>
        <w:fldChar w:fldCharType="begin"/>
      </w:r>
      <w:r>
        <w:rPr>
          <w:rFonts w:ascii="楷体_GB2312" w:hAnsi="黑体" w:eastAsia="楷体_GB2312"/>
          <w:b w:val="0"/>
          <w:sz w:val="32"/>
          <w:szCs w:val="32"/>
        </w:rPr>
        <w:instrText xml:space="preserve"> PAGEREF _Toc106610331 \h </w:instrText>
      </w:r>
      <w:r>
        <w:rPr>
          <w:rFonts w:hint="eastAsia" w:ascii="楷体_GB2312" w:hAnsi="黑体" w:eastAsia="楷体_GB2312"/>
          <w:b w:val="0"/>
          <w:sz w:val="32"/>
          <w:szCs w:val="32"/>
        </w:rPr>
        <w:fldChar w:fldCharType="separate"/>
      </w:r>
      <w:r>
        <w:rPr>
          <w:rFonts w:ascii="楷体_GB2312" w:hAnsi="黑体" w:eastAsia="楷体_GB2312"/>
          <w:b w:val="0"/>
          <w:sz w:val="32"/>
          <w:szCs w:val="32"/>
        </w:rPr>
        <w:t>42</w:t>
      </w:r>
      <w:r>
        <w:rPr>
          <w:rFonts w:hint="eastAsia" w:ascii="楷体_GB2312" w:hAnsi="黑体" w:eastAsia="楷体_GB2312"/>
          <w:b w:val="0"/>
          <w:sz w:val="32"/>
          <w:szCs w:val="32"/>
        </w:rPr>
        <w:fldChar w:fldCharType="end"/>
      </w:r>
      <w:r>
        <w:rPr>
          <w:rFonts w:ascii="楷体_GB2312" w:hAnsi="黑体" w:eastAsia="楷体_GB2312"/>
          <w:b w:val="0"/>
          <w:sz w:val="32"/>
          <w:szCs w:val="32"/>
        </w:rPr>
        <w:fldChar w:fldCharType="end"/>
      </w:r>
    </w:p>
    <w:p>
      <w:pPr>
        <w:pStyle w:val="9"/>
        <w:tabs>
          <w:tab w:val="right" w:leader="dot" w:pos="8296"/>
        </w:tabs>
        <w:spacing w:line="560" w:lineRule="exact"/>
        <w:ind w:firstLine="640"/>
        <w:contextualSpacing/>
        <w:rPr>
          <w:rFonts w:ascii="楷体_GB2312" w:hAnsi="黑体" w:eastAsia="楷体_GB2312" w:cs="Times New Roman"/>
          <w:smallCaps w:val="0"/>
          <w:color w:val="auto"/>
          <w:sz w:val="32"/>
          <w:szCs w:val="32"/>
        </w:rPr>
      </w:pPr>
      <w:r>
        <w:rPr>
          <w:sz w:val="32"/>
          <w:szCs w:val="32"/>
        </w:rPr>
        <w:fldChar w:fldCharType="begin"/>
      </w:r>
      <w:r>
        <w:rPr>
          <w:sz w:val="32"/>
          <w:szCs w:val="32"/>
        </w:rPr>
        <w:instrText xml:space="preserve"> HYPERLINK \l "_Toc106610332" </w:instrText>
      </w:r>
      <w:r>
        <w:rPr>
          <w:sz w:val="32"/>
          <w:szCs w:val="32"/>
        </w:rPr>
        <w:fldChar w:fldCharType="separate"/>
      </w:r>
      <w:r>
        <w:rPr>
          <w:rStyle w:val="12"/>
          <w:rFonts w:hint="eastAsia" w:ascii="楷体_GB2312" w:hAnsi="黑体" w:eastAsia="楷体_GB2312"/>
          <w:sz w:val="32"/>
          <w:szCs w:val="32"/>
        </w:rPr>
        <w:t>第一节</w:t>
      </w:r>
      <w:r>
        <w:rPr>
          <w:rStyle w:val="12"/>
          <w:rFonts w:ascii="楷体_GB2312" w:hAnsi="黑体" w:eastAsia="楷体_GB2312"/>
          <w:sz w:val="32"/>
          <w:szCs w:val="32"/>
        </w:rPr>
        <w:t xml:space="preserve"> </w:t>
      </w:r>
      <w:r>
        <w:rPr>
          <w:rStyle w:val="12"/>
          <w:rFonts w:hint="eastAsia" w:ascii="楷体_GB2312" w:hAnsi="黑体" w:eastAsia="楷体_GB2312"/>
          <w:sz w:val="32"/>
          <w:szCs w:val="32"/>
        </w:rPr>
        <w:t>绿色矿山建设</w:t>
      </w:r>
      <w:r>
        <w:rPr>
          <w:rFonts w:ascii="楷体_GB2312" w:hAnsi="黑体" w:eastAsia="楷体_GB2312"/>
          <w:sz w:val="32"/>
          <w:szCs w:val="32"/>
        </w:rPr>
        <w:tab/>
      </w:r>
      <w:r>
        <w:rPr>
          <w:rFonts w:hint="eastAsia" w:ascii="楷体_GB2312" w:hAnsi="黑体" w:eastAsia="楷体_GB2312"/>
          <w:sz w:val="32"/>
          <w:szCs w:val="32"/>
        </w:rPr>
        <w:fldChar w:fldCharType="begin"/>
      </w:r>
      <w:r>
        <w:rPr>
          <w:rFonts w:ascii="楷体_GB2312" w:hAnsi="黑体" w:eastAsia="楷体_GB2312"/>
          <w:sz w:val="32"/>
          <w:szCs w:val="32"/>
        </w:rPr>
        <w:instrText xml:space="preserve"> PAGEREF _Toc106610332 \h </w:instrText>
      </w:r>
      <w:r>
        <w:rPr>
          <w:rFonts w:hint="eastAsia" w:ascii="楷体_GB2312" w:hAnsi="黑体" w:eastAsia="楷体_GB2312"/>
          <w:sz w:val="32"/>
          <w:szCs w:val="32"/>
        </w:rPr>
        <w:fldChar w:fldCharType="separate"/>
      </w:r>
      <w:r>
        <w:rPr>
          <w:rFonts w:ascii="楷体_GB2312" w:hAnsi="黑体" w:eastAsia="楷体_GB2312"/>
          <w:sz w:val="32"/>
          <w:szCs w:val="32"/>
        </w:rPr>
        <w:t>42</w:t>
      </w:r>
      <w:r>
        <w:rPr>
          <w:rFonts w:hint="eastAsia" w:ascii="楷体_GB2312" w:hAnsi="黑体" w:eastAsia="楷体_GB2312"/>
          <w:sz w:val="32"/>
          <w:szCs w:val="32"/>
        </w:rPr>
        <w:fldChar w:fldCharType="end"/>
      </w:r>
      <w:r>
        <w:rPr>
          <w:rFonts w:ascii="楷体_GB2312" w:hAnsi="黑体" w:eastAsia="楷体_GB2312"/>
          <w:sz w:val="32"/>
          <w:szCs w:val="32"/>
        </w:rPr>
        <w:fldChar w:fldCharType="end"/>
      </w:r>
    </w:p>
    <w:p>
      <w:pPr>
        <w:pStyle w:val="9"/>
        <w:tabs>
          <w:tab w:val="right" w:leader="dot" w:pos="8296"/>
        </w:tabs>
        <w:spacing w:line="560" w:lineRule="exact"/>
        <w:ind w:firstLine="640"/>
        <w:contextualSpacing/>
        <w:rPr>
          <w:rFonts w:ascii="楷体_GB2312" w:hAnsi="黑体" w:eastAsia="楷体_GB2312" w:cs="Times New Roman"/>
          <w:smallCaps w:val="0"/>
          <w:color w:val="auto"/>
          <w:sz w:val="32"/>
          <w:szCs w:val="32"/>
        </w:rPr>
      </w:pPr>
      <w:r>
        <w:rPr>
          <w:sz w:val="32"/>
          <w:szCs w:val="32"/>
        </w:rPr>
        <w:fldChar w:fldCharType="begin"/>
      </w:r>
      <w:r>
        <w:rPr>
          <w:sz w:val="32"/>
          <w:szCs w:val="32"/>
        </w:rPr>
        <w:instrText xml:space="preserve"> HYPERLINK \l "_Toc106610333" </w:instrText>
      </w:r>
      <w:r>
        <w:rPr>
          <w:sz w:val="32"/>
          <w:szCs w:val="32"/>
        </w:rPr>
        <w:fldChar w:fldCharType="separate"/>
      </w:r>
      <w:r>
        <w:rPr>
          <w:rStyle w:val="12"/>
          <w:rFonts w:hint="eastAsia" w:ascii="楷体_GB2312" w:hAnsi="黑体" w:eastAsia="楷体_GB2312"/>
          <w:sz w:val="32"/>
          <w:szCs w:val="32"/>
        </w:rPr>
        <w:t>第二节</w:t>
      </w:r>
      <w:r>
        <w:rPr>
          <w:rStyle w:val="12"/>
          <w:rFonts w:ascii="楷体_GB2312" w:hAnsi="黑体" w:eastAsia="楷体_GB2312"/>
          <w:sz w:val="32"/>
          <w:szCs w:val="32"/>
        </w:rPr>
        <w:t xml:space="preserve"> </w:t>
      </w:r>
      <w:r>
        <w:rPr>
          <w:rStyle w:val="12"/>
          <w:rFonts w:hint="eastAsia" w:ascii="楷体_GB2312" w:hAnsi="黑体" w:eastAsia="楷体_GB2312"/>
          <w:sz w:val="32"/>
          <w:szCs w:val="32"/>
        </w:rPr>
        <w:t>矿山地质环境保护与治理</w:t>
      </w:r>
      <w:r>
        <w:rPr>
          <w:rFonts w:ascii="楷体_GB2312" w:hAnsi="黑体" w:eastAsia="楷体_GB2312"/>
          <w:sz w:val="32"/>
          <w:szCs w:val="32"/>
        </w:rPr>
        <w:tab/>
      </w:r>
      <w:r>
        <w:rPr>
          <w:rFonts w:hint="eastAsia" w:ascii="楷体_GB2312" w:hAnsi="黑体" w:eastAsia="楷体_GB2312"/>
          <w:sz w:val="32"/>
          <w:szCs w:val="32"/>
        </w:rPr>
        <w:fldChar w:fldCharType="begin"/>
      </w:r>
      <w:r>
        <w:rPr>
          <w:rFonts w:ascii="楷体_GB2312" w:hAnsi="黑体" w:eastAsia="楷体_GB2312"/>
          <w:sz w:val="32"/>
          <w:szCs w:val="32"/>
        </w:rPr>
        <w:instrText xml:space="preserve"> PAGEREF _Toc106610333 \h </w:instrText>
      </w:r>
      <w:r>
        <w:rPr>
          <w:rFonts w:hint="eastAsia" w:ascii="楷体_GB2312" w:hAnsi="黑体" w:eastAsia="楷体_GB2312"/>
          <w:sz w:val="32"/>
          <w:szCs w:val="32"/>
        </w:rPr>
        <w:fldChar w:fldCharType="separate"/>
      </w:r>
      <w:r>
        <w:rPr>
          <w:rFonts w:ascii="楷体_GB2312" w:hAnsi="黑体" w:eastAsia="楷体_GB2312"/>
          <w:sz w:val="32"/>
          <w:szCs w:val="32"/>
        </w:rPr>
        <w:t>43</w:t>
      </w:r>
      <w:r>
        <w:rPr>
          <w:rFonts w:hint="eastAsia" w:ascii="楷体_GB2312" w:hAnsi="黑体" w:eastAsia="楷体_GB2312"/>
          <w:sz w:val="32"/>
          <w:szCs w:val="32"/>
        </w:rPr>
        <w:fldChar w:fldCharType="end"/>
      </w:r>
      <w:r>
        <w:rPr>
          <w:rFonts w:ascii="楷体_GB2312" w:hAnsi="黑体" w:eastAsia="楷体_GB2312"/>
          <w:sz w:val="32"/>
          <w:szCs w:val="32"/>
        </w:rPr>
        <w:fldChar w:fldCharType="end"/>
      </w:r>
    </w:p>
    <w:p>
      <w:pPr>
        <w:pStyle w:val="8"/>
        <w:tabs>
          <w:tab w:val="right" w:leader="dot" w:pos="8296"/>
        </w:tabs>
        <w:spacing w:before="0" w:after="0" w:line="560" w:lineRule="exact"/>
        <w:ind w:firstLine="643"/>
        <w:contextualSpacing/>
        <w:rPr>
          <w:rFonts w:ascii="楷体_GB2312" w:hAnsi="黑体" w:eastAsia="楷体_GB2312" w:cs="Times New Roman"/>
          <w:b w:val="0"/>
          <w:bCs w:val="0"/>
          <w:caps w:val="0"/>
          <w:color w:val="auto"/>
          <w:sz w:val="32"/>
          <w:szCs w:val="32"/>
        </w:rPr>
      </w:pPr>
      <w:r>
        <w:rPr>
          <w:sz w:val="32"/>
          <w:szCs w:val="32"/>
        </w:rPr>
        <w:fldChar w:fldCharType="begin"/>
      </w:r>
      <w:r>
        <w:rPr>
          <w:sz w:val="32"/>
          <w:szCs w:val="32"/>
        </w:rPr>
        <w:instrText xml:space="preserve"> HYPERLINK \l "_Toc106610334" </w:instrText>
      </w:r>
      <w:r>
        <w:rPr>
          <w:sz w:val="32"/>
          <w:szCs w:val="32"/>
        </w:rPr>
        <w:fldChar w:fldCharType="separate"/>
      </w:r>
      <w:r>
        <w:rPr>
          <w:rStyle w:val="12"/>
          <w:rFonts w:hint="eastAsia" w:ascii="黑体" w:hAnsi="黑体" w:eastAsia="黑体"/>
          <w:b w:val="0"/>
          <w:sz w:val="32"/>
          <w:szCs w:val="32"/>
        </w:rPr>
        <w:t>第七章</w:t>
      </w:r>
      <w:r>
        <w:rPr>
          <w:rStyle w:val="12"/>
          <w:rFonts w:ascii="黑体" w:hAnsi="黑体" w:eastAsia="黑体"/>
          <w:b w:val="0"/>
          <w:sz w:val="32"/>
          <w:szCs w:val="32"/>
        </w:rPr>
        <w:t xml:space="preserve"> </w:t>
      </w:r>
      <w:r>
        <w:rPr>
          <w:rStyle w:val="12"/>
          <w:rFonts w:hint="eastAsia" w:ascii="黑体" w:hAnsi="黑体" w:eastAsia="黑体"/>
          <w:b w:val="0"/>
          <w:sz w:val="32"/>
          <w:szCs w:val="32"/>
        </w:rPr>
        <w:t>规划实施与管理</w:t>
      </w:r>
      <w:r>
        <w:rPr>
          <w:rFonts w:ascii="楷体_GB2312" w:hAnsi="黑体" w:eastAsia="楷体_GB2312"/>
          <w:b w:val="0"/>
          <w:sz w:val="32"/>
          <w:szCs w:val="32"/>
        </w:rPr>
        <w:tab/>
      </w:r>
      <w:r>
        <w:rPr>
          <w:rFonts w:hint="eastAsia" w:ascii="楷体_GB2312" w:hAnsi="黑体" w:eastAsia="楷体_GB2312"/>
          <w:b w:val="0"/>
          <w:sz w:val="32"/>
          <w:szCs w:val="32"/>
        </w:rPr>
        <w:fldChar w:fldCharType="begin"/>
      </w:r>
      <w:r>
        <w:rPr>
          <w:rFonts w:ascii="楷体_GB2312" w:hAnsi="黑体" w:eastAsia="楷体_GB2312"/>
          <w:b w:val="0"/>
          <w:sz w:val="32"/>
          <w:szCs w:val="32"/>
        </w:rPr>
        <w:instrText xml:space="preserve"> PAGEREF _Toc106610334 \h </w:instrText>
      </w:r>
      <w:r>
        <w:rPr>
          <w:rFonts w:hint="eastAsia" w:ascii="楷体_GB2312" w:hAnsi="黑体" w:eastAsia="楷体_GB2312"/>
          <w:b w:val="0"/>
          <w:sz w:val="32"/>
          <w:szCs w:val="32"/>
        </w:rPr>
        <w:fldChar w:fldCharType="separate"/>
      </w:r>
      <w:r>
        <w:rPr>
          <w:rFonts w:ascii="楷体_GB2312" w:hAnsi="黑体" w:eastAsia="楷体_GB2312"/>
          <w:b w:val="0"/>
          <w:sz w:val="32"/>
          <w:szCs w:val="32"/>
        </w:rPr>
        <w:t>45</w:t>
      </w:r>
      <w:r>
        <w:rPr>
          <w:rFonts w:hint="eastAsia" w:ascii="楷体_GB2312" w:hAnsi="黑体" w:eastAsia="楷体_GB2312"/>
          <w:b w:val="0"/>
          <w:sz w:val="32"/>
          <w:szCs w:val="32"/>
        </w:rPr>
        <w:fldChar w:fldCharType="end"/>
      </w:r>
      <w:r>
        <w:rPr>
          <w:rFonts w:ascii="楷体_GB2312" w:hAnsi="黑体" w:eastAsia="楷体_GB2312"/>
          <w:b w:val="0"/>
          <w:sz w:val="32"/>
          <w:szCs w:val="32"/>
        </w:rPr>
        <w:fldChar w:fldCharType="end"/>
      </w:r>
    </w:p>
    <w:p>
      <w:pPr>
        <w:pStyle w:val="8"/>
        <w:tabs>
          <w:tab w:val="right" w:leader="dot" w:pos="8296"/>
        </w:tabs>
        <w:spacing w:before="0" w:after="0" w:line="560" w:lineRule="exact"/>
        <w:ind w:firstLine="643"/>
        <w:contextualSpacing/>
        <w:rPr>
          <w:rFonts w:ascii="楷体_GB2312" w:hAnsi="黑体" w:eastAsia="楷体_GB2312" w:cs="Times New Roman"/>
          <w:b w:val="0"/>
          <w:bCs w:val="0"/>
          <w:caps w:val="0"/>
          <w:color w:val="auto"/>
          <w:sz w:val="32"/>
          <w:szCs w:val="32"/>
        </w:rPr>
      </w:pPr>
      <w:r>
        <w:rPr>
          <w:sz w:val="32"/>
          <w:szCs w:val="32"/>
        </w:rPr>
        <w:fldChar w:fldCharType="begin"/>
      </w:r>
      <w:r>
        <w:rPr>
          <w:sz w:val="32"/>
          <w:szCs w:val="32"/>
        </w:rPr>
        <w:instrText xml:space="preserve"> HYPERLINK \l "_Toc106610335" </w:instrText>
      </w:r>
      <w:r>
        <w:rPr>
          <w:sz w:val="32"/>
          <w:szCs w:val="32"/>
        </w:rPr>
        <w:fldChar w:fldCharType="separate"/>
      </w:r>
      <w:r>
        <w:rPr>
          <w:rStyle w:val="12"/>
          <w:rFonts w:hint="eastAsia" w:ascii="黑体" w:hAnsi="黑体" w:eastAsia="黑体"/>
          <w:b w:val="0"/>
          <w:sz w:val="32"/>
          <w:szCs w:val="32"/>
        </w:rPr>
        <w:t>第八章</w:t>
      </w:r>
      <w:r>
        <w:rPr>
          <w:rStyle w:val="12"/>
          <w:rFonts w:ascii="黑体" w:hAnsi="黑体" w:eastAsia="黑体"/>
          <w:b w:val="0"/>
          <w:sz w:val="32"/>
          <w:szCs w:val="32"/>
        </w:rPr>
        <w:t xml:space="preserve"> </w:t>
      </w:r>
      <w:r>
        <w:rPr>
          <w:rStyle w:val="12"/>
          <w:rFonts w:hint="eastAsia" w:ascii="黑体" w:hAnsi="黑体" w:eastAsia="黑体"/>
          <w:b w:val="0"/>
          <w:sz w:val="32"/>
          <w:szCs w:val="32"/>
        </w:rPr>
        <w:t>环境影响评价</w:t>
      </w:r>
      <w:r>
        <w:rPr>
          <w:rFonts w:ascii="楷体_GB2312" w:hAnsi="黑体" w:eastAsia="楷体_GB2312"/>
          <w:b w:val="0"/>
          <w:sz w:val="32"/>
          <w:szCs w:val="32"/>
        </w:rPr>
        <w:tab/>
      </w:r>
      <w:r>
        <w:rPr>
          <w:rFonts w:hint="eastAsia" w:ascii="楷体_GB2312" w:hAnsi="黑体" w:eastAsia="楷体_GB2312"/>
          <w:b w:val="0"/>
          <w:sz w:val="32"/>
          <w:szCs w:val="32"/>
        </w:rPr>
        <w:fldChar w:fldCharType="begin"/>
      </w:r>
      <w:r>
        <w:rPr>
          <w:rFonts w:ascii="楷体_GB2312" w:hAnsi="黑体" w:eastAsia="楷体_GB2312"/>
          <w:b w:val="0"/>
          <w:sz w:val="32"/>
          <w:szCs w:val="32"/>
        </w:rPr>
        <w:instrText xml:space="preserve"> PAGEREF _Toc106610335 \h </w:instrText>
      </w:r>
      <w:r>
        <w:rPr>
          <w:rFonts w:hint="eastAsia" w:ascii="楷体_GB2312" w:hAnsi="黑体" w:eastAsia="楷体_GB2312"/>
          <w:b w:val="0"/>
          <w:sz w:val="32"/>
          <w:szCs w:val="32"/>
        </w:rPr>
        <w:fldChar w:fldCharType="separate"/>
      </w:r>
      <w:r>
        <w:rPr>
          <w:rFonts w:ascii="楷体_GB2312" w:hAnsi="黑体" w:eastAsia="楷体_GB2312"/>
          <w:b w:val="0"/>
          <w:sz w:val="32"/>
          <w:szCs w:val="32"/>
        </w:rPr>
        <w:t>48</w:t>
      </w:r>
      <w:r>
        <w:rPr>
          <w:rFonts w:hint="eastAsia" w:ascii="楷体_GB2312" w:hAnsi="黑体" w:eastAsia="楷体_GB2312"/>
          <w:b w:val="0"/>
          <w:sz w:val="32"/>
          <w:szCs w:val="32"/>
        </w:rPr>
        <w:fldChar w:fldCharType="end"/>
      </w:r>
      <w:r>
        <w:rPr>
          <w:rFonts w:ascii="楷体_GB2312" w:hAnsi="黑体" w:eastAsia="楷体_GB2312"/>
          <w:b w:val="0"/>
          <w:sz w:val="32"/>
          <w:szCs w:val="32"/>
        </w:rPr>
        <w:fldChar w:fldCharType="end"/>
      </w:r>
    </w:p>
    <w:p>
      <w:pPr>
        <w:pStyle w:val="9"/>
        <w:tabs>
          <w:tab w:val="right" w:leader="dot" w:pos="8296"/>
        </w:tabs>
        <w:spacing w:line="560" w:lineRule="exact"/>
        <w:ind w:firstLine="640"/>
        <w:contextualSpacing/>
        <w:rPr>
          <w:rFonts w:ascii="楷体_GB2312" w:hAnsi="黑体" w:eastAsia="楷体_GB2312" w:cs="Times New Roman"/>
          <w:smallCaps w:val="0"/>
          <w:color w:val="auto"/>
          <w:sz w:val="32"/>
          <w:szCs w:val="32"/>
        </w:rPr>
      </w:pPr>
      <w:r>
        <w:rPr>
          <w:sz w:val="32"/>
          <w:szCs w:val="32"/>
        </w:rPr>
        <w:fldChar w:fldCharType="begin"/>
      </w:r>
      <w:r>
        <w:rPr>
          <w:sz w:val="32"/>
          <w:szCs w:val="32"/>
        </w:rPr>
        <w:instrText xml:space="preserve"> HYPERLINK \l "_Toc106610336" </w:instrText>
      </w:r>
      <w:r>
        <w:rPr>
          <w:sz w:val="32"/>
          <w:szCs w:val="32"/>
        </w:rPr>
        <w:fldChar w:fldCharType="separate"/>
      </w:r>
      <w:r>
        <w:rPr>
          <w:rStyle w:val="12"/>
          <w:rFonts w:hint="eastAsia" w:ascii="楷体_GB2312" w:hAnsi="黑体" w:eastAsia="楷体_GB2312"/>
          <w:sz w:val="32"/>
          <w:szCs w:val="32"/>
        </w:rPr>
        <w:t>第一节</w:t>
      </w:r>
      <w:r>
        <w:rPr>
          <w:rStyle w:val="12"/>
          <w:rFonts w:ascii="楷体_GB2312" w:hAnsi="黑体" w:eastAsia="楷体_GB2312"/>
          <w:sz w:val="32"/>
          <w:szCs w:val="32"/>
        </w:rPr>
        <w:t xml:space="preserve"> </w:t>
      </w:r>
      <w:r>
        <w:rPr>
          <w:rStyle w:val="12"/>
          <w:rFonts w:hint="eastAsia" w:ascii="楷体_GB2312" w:hAnsi="黑体" w:eastAsia="楷体_GB2312"/>
          <w:sz w:val="32"/>
          <w:szCs w:val="32"/>
        </w:rPr>
        <w:t>生态环境质量现状</w:t>
      </w:r>
      <w:r>
        <w:rPr>
          <w:rFonts w:ascii="楷体_GB2312" w:hAnsi="黑体" w:eastAsia="楷体_GB2312"/>
          <w:sz w:val="32"/>
          <w:szCs w:val="32"/>
        </w:rPr>
        <w:tab/>
      </w:r>
      <w:r>
        <w:rPr>
          <w:rFonts w:hint="eastAsia" w:ascii="楷体_GB2312" w:hAnsi="黑体" w:eastAsia="楷体_GB2312"/>
          <w:sz w:val="32"/>
          <w:szCs w:val="32"/>
        </w:rPr>
        <w:fldChar w:fldCharType="begin"/>
      </w:r>
      <w:r>
        <w:rPr>
          <w:rFonts w:ascii="楷体_GB2312" w:hAnsi="黑体" w:eastAsia="楷体_GB2312"/>
          <w:sz w:val="32"/>
          <w:szCs w:val="32"/>
        </w:rPr>
        <w:instrText xml:space="preserve"> PAGEREF _Toc106610336 \h </w:instrText>
      </w:r>
      <w:r>
        <w:rPr>
          <w:rFonts w:hint="eastAsia" w:ascii="楷体_GB2312" w:hAnsi="黑体" w:eastAsia="楷体_GB2312"/>
          <w:sz w:val="32"/>
          <w:szCs w:val="32"/>
        </w:rPr>
        <w:fldChar w:fldCharType="separate"/>
      </w:r>
      <w:r>
        <w:rPr>
          <w:rFonts w:ascii="楷体_GB2312" w:hAnsi="黑体" w:eastAsia="楷体_GB2312"/>
          <w:sz w:val="32"/>
          <w:szCs w:val="32"/>
        </w:rPr>
        <w:t>48</w:t>
      </w:r>
      <w:r>
        <w:rPr>
          <w:rFonts w:hint="eastAsia" w:ascii="楷体_GB2312" w:hAnsi="黑体" w:eastAsia="楷体_GB2312"/>
          <w:sz w:val="32"/>
          <w:szCs w:val="32"/>
        </w:rPr>
        <w:fldChar w:fldCharType="end"/>
      </w:r>
      <w:r>
        <w:rPr>
          <w:rFonts w:ascii="楷体_GB2312" w:hAnsi="黑体" w:eastAsia="楷体_GB2312"/>
          <w:sz w:val="32"/>
          <w:szCs w:val="32"/>
        </w:rPr>
        <w:fldChar w:fldCharType="end"/>
      </w:r>
    </w:p>
    <w:p>
      <w:pPr>
        <w:pStyle w:val="9"/>
        <w:tabs>
          <w:tab w:val="right" w:leader="dot" w:pos="8296"/>
        </w:tabs>
        <w:spacing w:line="560" w:lineRule="exact"/>
        <w:ind w:firstLine="640"/>
        <w:contextualSpacing/>
        <w:rPr>
          <w:rFonts w:ascii="楷体_GB2312" w:hAnsi="黑体" w:eastAsia="楷体_GB2312" w:cs="Times New Roman"/>
          <w:smallCaps w:val="0"/>
          <w:color w:val="auto"/>
          <w:sz w:val="32"/>
          <w:szCs w:val="32"/>
        </w:rPr>
      </w:pPr>
      <w:r>
        <w:rPr>
          <w:sz w:val="32"/>
          <w:szCs w:val="32"/>
        </w:rPr>
        <w:fldChar w:fldCharType="begin"/>
      </w:r>
      <w:r>
        <w:rPr>
          <w:sz w:val="32"/>
          <w:szCs w:val="32"/>
        </w:rPr>
        <w:instrText xml:space="preserve"> HYPERLINK \l "_Toc106610337" </w:instrText>
      </w:r>
      <w:r>
        <w:rPr>
          <w:sz w:val="32"/>
          <w:szCs w:val="32"/>
        </w:rPr>
        <w:fldChar w:fldCharType="separate"/>
      </w:r>
      <w:r>
        <w:rPr>
          <w:rStyle w:val="12"/>
          <w:rFonts w:hint="eastAsia" w:ascii="楷体_GB2312" w:hAnsi="黑体" w:eastAsia="楷体_GB2312"/>
          <w:sz w:val="32"/>
          <w:szCs w:val="32"/>
        </w:rPr>
        <w:t>第二节</w:t>
      </w:r>
      <w:r>
        <w:rPr>
          <w:rStyle w:val="12"/>
          <w:rFonts w:ascii="楷体_GB2312" w:hAnsi="黑体" w:eastAsia="楷体_GB2312"/>
          <w:sz w:val="32"/>
          <w:szCs w:val="32"/>
        </w:rPr>
        <w:t xml:space="preserve"> </w:t>
      </w:r>
      <w:r>
        <w:rPr>
          <w:rStyle w:val="12"/>
          <w:rFonts w:hint="eastAsia" w:ascii="楷体_GB2312" w:hAnsi="黑体" w:eastAsia="楷体_GB2312"/>
          <w:sz w:val="32"/>
          <w:szCs w:val="32"/>
        </w:rPr>
        <w:t>环境影响分析与评价</w:t>
      </w:r>
      <w:r>
        <w:rPr>
          <w:rFonts w:ascii="楷体_GB2312" w:hAnsi="黑体" w:eastAsia="楷体_GB2312"/>
          <w:sz w:val="32"/>
          <w:szCs w:val="32"/>
        </w:rPr>
        <w:tab/>
      </w:r>
      <w:r>
        <w:rPr>
          <w:rFonts w:hint="eastAsia" w:ascii="楷体_GB2312" w:hAnsi="黑体" w:eastAsia="楷体_GB2312"/>
          <w:sz w:val="32"/>
          <w:szCs w:val="32"/>
        </w:rPr>
        <w:fldChar w:fldCharType="begin"/>
      </w:r>
      <w:r>
        <w:rPr>
          <w:rFonts w:ascii="楷体_GB2312" w:hAnsi="黑体" w:eastAsia="楷体_GB2312"/>
          <w:sz w:val="32"/>
          <w:szCs w:val="32"/>
        </w:rPr>
        <w:instrText xml:space="preserve"> PAGEREF _Toc106610337 \h </w:instrText>
      </w:r>
      <w:r>
        <w:rPr>
          <w:rFonts w:hint="eastAsia" w:ascii="楷体_GB2312" w:hAnsi="黑体" w:eastAsia="楷体_GB2312"/>
          <w:sz w:val="32"/>
          <w:szCs w:val="32"/>
        </w:rPr>
        <w:fldChar w:fldCharType="separate"/>
      </w:r>
      <w:r>
        <w:rPr>
          <w:rFonts w:ascii="楷体_GB2312" w:hAnsi="黑体" w:eastAsia="楷体_GB2312"/>
          <w:sz w:val="32"/>
          <w:szCs w:val="32"/>
        </w:rPr>
        <w:t>52</w:t>
      </w:r>
      <w:r>
        <w:rPr>
          <w:rFonts w:hint="eastAsia" w:ascii="楷体_GB2312" w:hAnsi="黑体" w:eastAsia="楷体_GB2312"/>
          <w:sz w:val="32"/>
          <w:szCs w:val="32"/>
        </w:rPr>
        <w:fldChar w:fldCharType="end"/>
      </w:r>
      <w:r>
        <w:rPr>
          <w:rFonts w:ascii="楷体_GB2312" w:hAnsi="黑体" w:eastAsia="楷体_GB2312"/>
          <w:sz w:val="32"/>
          <w:szCs w:val="32"/>
        </w:rPr>
        <w:fldChar w:fldCharType="end"/>
      </w:r>
    </w:p>
    <w:p>
      <w:pPr>
        <w:pStyle w:val="9"/>
        <w:tabs>
          <w:tab w:val="right" w:leader="dot" w:pos="8296"/>
        </w:tabs>
        <w:spacing w:line="560" w:lineRule="exact"/>
        <w:ind w:firstLine="640"/>
        <w:contextualSpacing/>
        <w:rPr>
          <w:rFonts w:ascii="楷体_GB2312" w:hAnsi="黑体" w:eastAsia="楷体_GB2312" w:cs="Times New Roman"/>
          <w:smallCaps w:val="0"/>
          <w:color w:val="auto"/>
          <w:sz w:val="32"/>
          <w:szCs w:val="32"/>
        </w:rPr>
      </w:pPr>
      <w:r>
        <w:rPr>
          <w:sz w:val="32"/>
          <w:szCs w:val="32"/>
        </w:rPr>
        <w:fldChar w:fldCharType="begin"/>
      </w:r>
      <w:r>
        <w:rPr>
          <w:sz w:val="32"/>
          <w:szCs w:val="32"/>
        </w:rPr>
        <w:instrText xml:space="preserve"> HYPERLINK \l "_Toc106610338" </w:instrText>
      </w:r>
      <w:r>
        <w:rPr>
          <w:sz w:val="32"/>
          <w:szCs w:val="32"/>
        </w:rPr>
        <w:fldChar w:fldCharType="separate"/>
      </w:r>
      <w:r>
        <w:rPr>
          <w:rStyle w:val="12"/>
          <w:rFonts w:hint="eastAsia" w:ascii="楷体_GB2312" w:hAnsi="黑体" w:eastAsia="楷体_GB2312"/>
          <w:sz w:val="32"/>
          <w:szCs w:val="32"/>
        </w:rPr>
        <w:t>第三节</w:t>
      </w:r>
      <w:r>
        <w:rPr>
          <w:rStyle w:val="12"/>
          <w:rFonts w:ascii="楷体_GB2312" w:hAnsi="黑体" w:eastAsia="楷体_GB2312"/>
          <w:sz w:val="32"/>
          <w:szCs w:val="32"/>
        </w:rPr>
        <w:t xml:space="preserve"> </w:t>
      </w:r>
      <w:r>
        <w:rPr>
          <w:rStyle w:val="12"/>
          <w:rFonts w:hint="eastAsia" w:ascii="楷体_GB2312" w:hAnsi="黑体" w:eastAsia="楷体_GB2312"/>
          <w:sz w:val="32"/>
          <w:szCs w:val="32"/>
        </w:rPr>
        <w:t>环境影响减缓措施</w:t>
      </w:r>
      <w:r>
        <w:rPr>
          <w:rFonts w:ascii="楷体_GB2312" w:hAnsi="黑体" w:eastAsia="楷体_GB2312"/>
          <w:sz w:val="32"/>
          <w:szCs w:val="32"/>
        </w:rPr>
        <w:tab/>
      </w:r>
      <w:r>
        <w:rPr>
          <w:rFonts w:hint="eastAsia" w:ascii="楷体_GB2312" w:hAnsi="黑体" w:eastAsia="楷体_GB2312"/>
          <w:sz w:val="32"/>
          <w:szCs w:val="32"/>
        </w:rPr>
        <w:fldChar w:fldCharType="begin"/>
      </w:r>
      <w:r>
        <w:rPr>
          <w:rFonts w:ascii="楷体_GB2312" w:hAnsi="黑体" w:eastAsia="楷体_GB2312"/>
          <w:sz w:val="32"/>
          <w:szCs w:val="32"/>
        </w:rPr>
        <w:instrText xml:space="preserve"> PAGEREF _Toc106610338 \h </w:instrText>
      </w:r>
      <w:r>
        <w:rPr>
          <w:rFonts w:hint="eastAsia" w:ascii="楷体_GB2312" w:hAnsi="黑体" w:eastAsia="楷体_GB2312"/>
          <w:sz w:val="32"/>
          <w:szCs w:val="32"/>
        </w:rPr>
        <w:fldChar w:fldCharType="separate"/>
      </w:r>
      <w:r>
        <w:rPr>
          <w:rFonts w:ascii="楷体_GB2312" w:hAnsi="黑体" w:eastAsia="楷体_GB2312"/>
          <w:sz w:val="32"/>
          <w:szCs w:val="32"/>
        </w:rPr>
        <w:t>54</w:t>
      </w:r>
      <w:r>
        <w:rPr>
          <w:rFonts w:hint="eastAsia" w:ascii="楷体_GB2312" w:hAnsi="黑体" w:eastAsia="楷体_GB2312"/>
          <w:sz w:val="32"/>
          <w:szCs w:val="32"/>
        </w:rPr>
        <w:fldChar w:fldCharType="end"/>
      </w:r>
      <w:r>
        <w:rPr>
          <w:rFonts w:ascii="楷体_GB2312" w:hAnsi="黑体" w:eastAsia="楷体_GB2312"/>
          <w:sz w:val="32"/>
          <w:szCs w:val="32"/>
        </w:rPr>
        <w:fldChar w:fldCharType="end"/>
      </w:r>
    </w:p>
    <w:p>
      <w:pPr>
        <w:pStyle w:val="9"/>
        <w:tabs>
          <w:tab w:val="right" w:leader="dot" w:pos="8296"/>
        </w:tabs>
        <w:spacing w:line="560" w:lineRule="exact"/>
        <w:ind w:firstLine="640"/>
        <w:contextualSpacing/>
        <w:rPr>
          <w:rFonts w:ascii="楷体_GB2312" w:hAnsi="黑体" w:eastAsia="楷体_GB2312" w:cs="Times New Roman"/>
          <w:smallCaps w:val="0"/>
          <w:color w:val="auto"/>
          <w:sz w:val="32"/>
          <w:szCs w:val="32"/>
        </w:rPr>
      </w:pPr>
      <w:r>
        <w:rPr>
          <w:sz w:val="32"/>
          <w:szCs w:val="32"/>
        </w:rPr>
        <w:fldChar w:fldCharType="begin"/>
      </w:r>
      <w:r>
        <w:rPr>
          <w:sz w:val="32"/>
          <w:szCs w:val="32"/>
        </w:rPr>
        <w:instrText xml:space="preserve"> HYPERLINK \l "_Toc106610339" </w:instrText>
      </w:r>
      <w:r>
        <w:rPr>
          <w:sz w:val="32"/>
          <w:szCs w:val="32"/>
        </w:rPr>
        <w:fldChar w:fldCharType="separate"/>
      </w:r>
      <w:r>
        <w:rPr>
          <w:rStyle w:val="12"/>
          <w:rFonts w:hint="eastAsia" w:ascii="楷体_GB2312" w:hAnsi="黑体" w:eastAsia="楷体_GB2312"/>
          <w:sz w:val="32"/>
          <w:szCs w:val="32"/>
        </w:rPr>
        <w:t>第四节</w:t>
      </w:r>
      <w:r>
        <w:rPr>
          <w:rStyle w:val="12"/>
          <w:rFonts w:ascii="楷体_GB2312" w:hAnsi="黑体" w:eastAsia="楷体_GB2312"/>
          <w:sz w:val="32"/>
          <w:szCs w:val="32"/>
        </w:rPr>
        <w:t xml:space="preserve"> </w:t>
      </w:r>
      <w:r>
        <w:rPr>
          <w:rStyle w:val="12"/>
          <w:rFonts w:hint="eastAsia" w:ascii="楷体_GB2312" w:hAnsi="黑体" w:eastAsia="楷体_GB2312"/>
          <w:sz w:val="32"/>
          <w:szCs w:val="32"/>
        </w:rPr>
        <w:t>规划的跟踪评价</w:t>
      </w:r>
      <w:r>
        <w:rPr>
          <w:rFonts w:ascii="楷体_GB2312" w:hAnsi="黑体" w:eastAsia="楷体_GB2312"/>
          <w:sz w:val="32"/>
          <w:szCs w:val="32"/>
        </w:rPr>
        <w:tab/>
      </w:r>
      <w:r>
        <w:rPr>
          <w:rFonts w:hint="eastAsia" w:ascii="楷体_GB2312" w:hAnsi="黑体" w:eastAsia="楷体_GB2312"/>
          <w:sz w:val="32"/>
          <w:szCs w:val="32"/>
        </w:rPr>
        <w:fldChar w:fldCharType="begin"/>
      </w:r>
      <w:r>
        <w:rPr>
          <w:rFonts w:ascii="楷体_GB2312" w:hAnsi="黑体" w:eastAsia="楷体_GB2312"/>
          <w:sz w:val="32"/>
          <w:szCs w:val="32"/>
        </w:rPr>
        <w:instrText xml:space="preserve"> PAGEREF _Toc106610339 \h </w:instrText>
      </w:r>
      <w:r>
        <w:rPr>
          <w:rFonts w:hint="eastAsia" w:ascii="楷体_GB2312" w:hAnsi="黑体" w:eastAsia="楷体_GB2312"/>
          <w:sz w:val="32"/>
          <w:szCs w:val="32"/>
        </w:rPr>
        <w:fldChar w:fldCharType="separate"/>
      </w:r>
      <w:r>
        <w:rPr>
          <w:rFonts w:ascii="楷体_GB2312" w:hAnsi="黑体" w:eastAsia="楷体_GB2312"/>
          <w:sz w:val="32"/>
          <w:szCs w:val="32"/>
        </w:rPr>
        <w:t>56</w:t>
      </w:r>
      <w:r>
        <w:rPr>
          <w:rFonts w:hint="eastAsia" w:ascii="楷体_GB2312" w:hAnsi="黑体" w:eastAsia="楷体_GB2312"/>
          <w:sz w:val="32"/>
          <w:szCs w:val="32"/>
        </w:rPr>
        <w:fldChar w:fldCharType="end"/>
      </w:r>
      <w:r>
        <w:rPr>
          <w:rFonts w:ascii="楷体_GB2312" w:hAnsi="黑体" w:eastAsia="楷体_GB2312"/>
          <w:sz w:val="32"/>
          <w:szCs w:val="32"/>
        </w:rPr>
        <w:fldChar w:fldCharType="end"/>
      </w:r>
    </w:p>
    <w:p>
      <w:pPr>
        <w:pStyle w:val="9"/>
        <w:tabs>
          <w:tab w:val="right" w:leader="dot" w:pos="8296"/>
        </w:tabs>
        <w:spacing w:line="560" w:lineRule="exact"/>
        <w:ind w:firstLine="640"/>
        <w:contextualSpacing/>
        <w:rPr>
          <w:rFonts w:ascii="楷体_GB2312" w:hAnsi="黑体" w:eastAsia="楷体_GB2312" w:cs="Times New Roman"/>
          <w:smallCaps w:val="0"/>
          <w:color w:val="auto"/>
          <w:sz w:val="32"/>
          <w:szCs w:val="32"/>
        </w:rPr>
      </w:pPr>
      <w:r>
        <w:rPr>
          <w:sz w:val="32"/>
          <w:szCs w:val="32"/>
        </w:rPr>
        <w:fldChar w:fldCharType="begin"/>
      </w:r>
      <w:r>
        <w:rPr>
          <w:sz w:val="32"/>
          <w:szCs w:val="32"/>
        </w:rPr>
        <w:instrText xml:space="preserve"> HYPERLINK \l "_Toc106610340" </w:instrText>
      </w:r>
      <w:r>
        <w:rPr>
          <w:sz w:val="32"/>
          <w:szCs w:val="32"/>
        </w:rPr>
        <w:fldChar w:fldCharType="separate"/>
      </w:r>
      <w:r>
        <w:rPr>
          <w:rStyle w:val="12"/>
          <w:rFonts w:hint="eastAsia" w:ascii="楷体_GB2312" w:hAnsi="黑体" w:eastAsia="楷体_GB2312"/>
          <w:sz w:val="32"/>
          <w:szCs w:val="32"/>
        </w:rPr>
        <w:t>第五节</w:t>
      </w:r>
      <w:r>
        <w:rPr>
          <w:rStyle w:val="12"/>
          <w:rFonts w:ascii="楷体_GB2312" w:hAnsi="黑体" w:eastAsia="楷体_GB2312"/>
          <w:sz w:val="32"/>
          <w:szCs w:val="32"/>
        </w:rPr>
        <w:t xml:space="preserve"> </w:t>
      </w:r>
      <w:r>
        <w:rPr>
          <w:rStyle w:val="12"/>
          <w:rFonts w:hint="eastAsia" w:ascii="楷体_GB2312" w:hAnsi="黑体" w:eastAsia="楷体_GB2312"/>
          <w:sz w:val="32"/>
          <w:szCs w:val="32"/>
        </w:rPr>
        <w:t>评价结论</w:t>
      </w:r>
      <w:r>
        <w:rPr>
          <w:rFonts w:ascii="楷体_GB2312" w:hAnsi="黑体" w:eastAsia="楷体_GB2312"/>
          <w:sz w:val="32"/>
          <w:szCs w:val="32"/>
        </w:rPr>
        <w:tab/>
      </w:r>
      <w:r>
        <w:rPr>
          <w:rFonts w:hint="eastAsia" w:ascii="楷体_GB2312" w:hAnsi="黑体" w:eastAsia="楷体_GB2312"/>
          <w:sz w:val="32"/>
          <w:szCs w:val="32"/>
        </w:rPr>
        <w:fldChar w:fldCharType="begin"/>
      </w:r>
      <w:r>
        <w:rPr>
          <w:rFonts w:ascii="楷体_GB2312" w:hAnsi="黑体" w:eastAsia="楷体_GB2312"/>
          <w:sz w:val="32"/>
          <w:szCs w:val="32"/>
        </w:rPr>
        <w:instrText xml:space="preserve"> PAGEREF _Toc106610340 \h </w:instrText>
      </w:r>
      <w:r>
        <w:rPr>
          <w:rFonts w:hint="eastAsia" w:ascii="楷体_GB2312" w:hAnsi="黑体" w:eastAsia="楷体_GB2312"/>
          <w:sz w:val="32"/>
          <w:szCs w:val="32"/>
        </w:rPr>
        <w:fldChar w:fldCharType="separate"/>
      </w:r>
      <w:r>
        <w:rPr>
          <w:rFonts w:ascii="楷体_GB2312" w:hAnsi="黑体" w:eastAsia="楷体_GB2312"/>
          <w:sz w:val="32"/>
          <w:szCs w:val="32"/>
        </w:rPr>
        <w:t>56</w:t>
      </w:r>
      <w:r>
        <w:rPr>
          <w:rFonts w:hint="eastAsia" w:ascii="楷体_GB2312" w:hAnsi="黑体" w:eastAsia="楷体_GB2312"/>
          <w:sz w:val="32"/>
          <w:szCs w:val="32"/>
        </w:rPr>
        <w:fldChar w:fldCharType="end"/>
      </w:r>
      <w:r>
        <w:rPr>
          <w:rFonts w:ascii="楷体_GB2312" w:hAnsi="黑体" w:eastAsia="楷体_GB2312"/>
          <w:sz w:val="32"/>
          <w:szCs w:val="32"/>
        </w:rPr>
        <w:fldChar w:fldCharType="end"/>
      </w:r>
    </w:p>
    <w:p>
      <w:pPr>
        <w:spacing w:line="560" w:lineRule="exact"/>
        <w:ind w:firstLine="600"/>
        <w:contextualSpacing/>
        <w:rPr>
          <w:rFonts w:ascii="仿宋_GB2312" w:eastAsia="仿宋_GB2312"/>
          <w:sz w:val="32"/>
          <w:szCs w:val="32"/>
        </w:rPr>
      </w:pPr>
      <w:r>
        <w:rPr>
          <w:rFonts w:hint="eastAsia" w:ascii="楷体_GB2312" w:hAnsi="黑体" w:eastAsia="楷体_GB2312"/>
          <w:sz w:val="32"/>
          <w:szCs w:val="32"/>
        </w:rPr>
        <w:fldChar w:fldCharType="end"/>
      </w:r>
    </w:p>
    <w:p>
      <w:pPr>
        <w:pStyle w:val="2"/>
        <w:contextualSpacing/>
        <w:rPr>
          <w:rFonts w:ascii="仿宋_GB2312" w:hAnsi="仿宋" w:eastAsia="仿宋_GB2312"/>
          <w:szCs w:val="32"/>
        </w:rPr>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418" w:left="1588" w:header="851" w:footer="992" w:gutter="0"/>
          <w:pgNumType w:fmt="numberInDash"/>
          <w:cols w:space="425" w:num="1"/>
          <w:docGrid w:type="lines" w:linePitch="312" w:charSpace="0"/>
        </w:sectPr>
      </w:pPr>
    </w:p>
    <w:p>
      <w:pPr>
        <w:pStyle w:val="2"/>
        <w:contextualSpacing/>
        <w:rPr>
          <w:rFonts w:ascii="黑体" w:hAnsi="黑体"/>
          <w:b/>
          <w:szCs w:val="32"/>
        </w:rPr>
      </w:pPr>
      <w:bookmarkStart w:id="0" w:name="_Toc106610309"/>
      <w:r>
        <w:rPr>
          <w:rFonts w:hint="eastAsia" w:ascii="黑体" w:hAnsi="黑体"/>
          <w:szCs w:val="32"/>
        </w:rPr>
        <w:t>总</w:t>
      </w:r>
      <w:r>
        <w:rPr>
          <w:rFonts w:ascii="黑体" w:hAnsi="黑体"/>
          <w:b/>
          <w:szCs w:val="32"/>
        </w:rPr>
        <w:t xml:space="preserve"> </w:t>
      </w:r>
      <w:r>
        <w:rPr>
          <w:rFonts w:ascii="黑体" w:hAnsi="黑体"/>
          <w:szCs w:val="32"/>
        </w:rPr>
        <w:t xml:space="preserve"> 则</w:t>
      </w:r>
      <w:bookmarkEnd w:id="0"/>
    </w:p>
    <w:p>
      <w:pPr>
        <w:ind w:firstLine="640"/>
        <w:rPr>
          <w:sz w:val="32"/>
          <w:szCs w:val="32"/>
        </w:rPr>
      </w:pPr>
    </w:p>
    <w:p>
      <w:pPr>
        <w:spacing w:line="560" w:lineRule="exact"/>
        <w:ind w:firstLine="640"/>
        <w:contextualSpacing/>
        <w:rPr>
          <w:rFonts w:ascii="仿宋_GB2312" w:eastAsia="仿宋_GB2312"/>
          <w:sz w:val="32"/>
          <w:szCs w:val="32"/>
        </w:rPr>
      </w:pPr>
      <w:r>
        <w:rPr>
          <w:rFonts w:hint="eastAsia" w:ascii="仿宋_GB2312" w:eastAsia="仿宋_GB2312"/>
          <w:sz w:val="32"/>
          <w:szCs w:val="32"/>
        </w:rPr>
        <w:t>为提高资源安全保障能力，推动矿业绿色高质量发展，统筹矿产资源勘查、开发利用和保护活动，推动赤峰市矿业走以生态优先、绿色发展的新路子，依据《中华人民共和国矿产资源法》及其配套法律、法规，《内蒙古自治区矿产资源总体规划（</w:t>
      </w:r>
      <w:r>
        <w:rPr>
          <w:rFonts w:ascii="仿宋_GB2312" w:eastAsia="仿宋_GB2312"/>
          <w:sz w:val="32"/>
          <w:szCs w:val="32"/>
        </w:rPr>
        <w:t>2021-2025年）》</w:t>
      </w:r>
      <w:r>
        <w:rPr>
          <w:rFonts w:hint="eastAsia" w:ascii="仿宋_GB2312" w:eastAsia="仿宋_GB2312"/>
          <w:sz w:val="32"/>
          <w:szCs w:val="32"/>
        </w:rPr>
        <w:t>《赤峰市国民经济和社会发展第十四个五年规划和二</w:t>
      </w:r>
      <w:r>
        <w:rPr>
          <w:rFonts w:hint="eastAsia" w:ascii="微软雅黑" w:hAnsi="微软雅黑" w:eastAsia="微软雅黑" w:cs="微软雅黑"/>
          <w:sz w:val="32"/>
          <w:szCs w:val="32"/>
        </w:rPr>
        <w:t>〇</w:t>
      </w:r>
      <w:r>
        <w:rPr>
          <w:rFonts w:hint="eastAsia" w:ascii="仿宋_GB2312" w:hAnsi="仿宋_GB2312" w:eastAsia="仿宋_GB2312" w:cs="仿宋_GB2312"/>
          <w:sz w:val="32"/>
          <w:szCs w:val="32"/>
        </w:rPr>
        <w:t>三五年远景目标纲要》等，编制《赤峰市矿产资源总体规划（</w:t>
      </w:r>
      <w:r>
        <w:rPr>
          <w:rFonts w:ascii="仿宋_GB2312" w:eastAsia="仿宋_GB2312"/>
          <w:sz w:val="32"/>
          <w:szCs w:val="32"/>
        </w:rPr>
        <w:t>2021-2025年）》(以下简称《规划》)。</w:t>
      </w:r>
    </w:p>
    <w:p>
      <w:pPr>
        <w:spacing w:line="560" w:lineRule="exact"/>
        <w:ind w:firstLine="640"/>
        <w:contextualSpacing/>
        <w:rPr>
          <w:rFonts w:ascii="仿宋_GB2312" w:eastAsia="仿宋_GB2312"/>
          <w:sz w:val="32"/>
          <w:szCs w:val="32"/>
        </w:rPr>
      </w:pPr>
      <w:r>
        <w:rPr>
          <w:rFonts w:hint="eastAsia" w:ascii="仿宋_GB2312" w:eastAsia="仿宋_GB2312"/>
          <w:sz w:val="32"/>
          <w:szCs w:val="32"/>
        </w:rPr>
        <w:t>《规划》是落实国家矿产资源安全战略、加强和改善矿产资源宏观管理的重要手段，是赤峰市依法审批和监督管理矿产资源勘查、开发利用与保护活动的重要依据，是旗县级规划编制的重要依据。涉及赤峰市矿产资源勘查、开发利用与保护活动的相关行业及区域规划，应当与本《规划》做好衔接。</w:t>
      </w:r>
    </w:p>
    <w:p>
      <w:pPr>
        <w:spacing w:line="560" w:lineRule="exact"/>
        <w:ind w:firstLine="640"/>
        <w:contextualSpacing/>
        <w:rPr>
          <w:rFonts w:ascii="仿宋_GB2312" w:eastAsia="仿宋_GB2312"/>
          <w:sz w:val="32"/>
          <w:szCs w:val="32"/>
        </w:rPr>
      </w:pPr>
      <w:r>
        <w:rPr>
          <w:rFonts w:hint="eastAsia" w:ascii="仿宋_GB2312" w:eastAsia="仿宋_GB2312"/>
          <w:sz w:val="32"/>
          <w:szCs w:val="32"/>
        </w:rPr>
        <w:t>本《规划》适用范围为赤峰市所辖行政区域内矿产资源。</w:t>
      </w:r>
    </w:p>
    <w:p>
      <w:pPr>
        <w:spacing w:line="560" w:lineRule="exact"/>
        <w:ind w:firstLine="640"/>
        <w:contextualSpacing/>
        <w:rPr>
          <w:rFonts w:ascii="仿宋_GB2312" w:eastAsia="仿宋_GB2312"/>
          <w:sz w:val="32"/>
          <w:szCs w:val="32"/>
        </w:rPr>
      </w:pPr>
      <w:r>
        <w:rPr>
          <w:rFonts w:hint="eastAsia" w:ascii="仿宋_GB2312" w:eastAsia="仿宋_GB2312"/>
          <w:sz w:val="32"/>
          <w:szCs w:val="32"/>
        </w:rPr>
        <w:t>本《规划》以</w:t>
      </w:r>
      <w:r>
        <w:rPr>
          <w:rFonts w:ascii="仿宋_GB2312" w:eastAsia="仿宋_GB2312"/>
          <w:sz w:val="32"/>
          <w:szCs w:val="32"/>
        </w:rPr>
        <w:t>2020年为基期，2021-2025</w:t>
      </w:r>
      <w:r>
        <w:rPr>
          <w:rFonts w:hint="eastAsia" w:ascii="仿宋_GB2312" w:eastAsia="仿宋_GB2312"/>
          <w:sz w:val="32"/>
          <w:szCs w:val="32"/>
        </w:rPr>
        <w:t>年为规划期，展望至</w:t>
      </w:r>
      <w:r>
        <w:rPr>
          <w:rFonts w:ascii="仿宋_GB2312" w:eastAsia="仿宋_GB2312"/>
          <w:sz w:val="32"/>
          <w:szCs w:val="32"/>
        </w:rPr>
        <w:t>2035年。</w:t>
      </w:r>
    </w:p>
    <w:p>
      <w:pPr>
        <w:pStyle w:val="2"/>
        <w:rPr>
          <w:szCs w:val="32"/>
        </w:rPr>
      </w:pPr>
      <w:bookmarkStart w:id="1" w:name="_Toc106610310"/>
    </w:p>
    <w:p>
      <w:pPr>
        <w:pStyle w:val="2"/>
        <w:rPr>
          <w:szCs w:val="32"/>
        </w:rPr>
      </w:pPr>
    </w:p>
    <w:p>
      <w:pPr>
        <w:ind w:firstLine="640"/>
        <w:rPr>
          <w:sz w:val="32"/>
          <w:szCs w:val="32"/>
        </w:rPr>
      </w:pPr>
    </w:p>
    <w:p>
      <w:pPr>
        <w:ind w:firstLine="640"/>
        <w:rPr>
          <w:sz w:val="32"/>
          <w:szCs w:val="32"/>
        </w:rPr>
      </w:pPr>
    </w:p>
    <w:p>
      <w:pPr>
        <w:ind w:firstLine="640"/>
        <w:rPr>
          <w:sz w:val="32"/>
          <w:szCs w:val="32"/>
        </w:rPr>
      </w:pPr>
    </w:p>
    <w:p>
      <w:pPr>
        <w:pStyle w:val="2"/>
        <w:rPr>
          <w:szCs w:val="32"/>
        </w:rPr>
      </w:pPr>
      <w:r>
        <w:rPr>
          <w:rFonts w:hint="eastAsia"/>
          <w:szCs w:val="32"/>
        </w:rPr>
        <w:t>第一章</w:t>
      </w:r>
      <w:r>
        <w:rPr>
          <w:szCs w:val="32"/>
        </w:rPr>
        <w:t xml:space="preserve"> </w:t>
      </w:r>
      <w:r>
        <w:rPr>
          <w:rFonts w:hint="eastAsia"/>
          <w:szCs w:val="32"/>
        </w:rPr>
        <w:t>现状与形势</w:t>
      </w:r>
      <w:bookmarkEnd w:id="1"/>
    </w:p>
    <w:p>
      <w:pPr>
        <w:pStyle w:val="3"/>
      </w:pPr>
      <w:bookmarkStart w:id="2" w:name="_Toc106610311"/>
      <w:r>
        <w:rPr>
          <w:rFonts w:hint="eastAsia"/>
        </w:rPr>
        <w:t>第一节</w:t>
      </w:r>
      <w:r>
        <w:t xml:space="preserve"> </w:t>
      </w:r>
      <w:r>
        <w:rPr>
          <w:rFonts w:hint="eastAsia"/>
        </w:rPr>
        <w:t>矿产资源概况及开发利用现状</w:t>
      </w:r>
      <w:bookmarkEnd w:id="2"/>
    </w:p>
    <w:p>
      <w:pPr>
        <w:pStyle w:val="5"/>
        <w:ind w:firstLine="640"/>
        <w:rPr>
          <w:szCs w:val="32"/>
        </w:rPr>
      </w:pPr>
      <w:r>
        <w:rPr>
          <w:rFonts w:hint="eastAsia"/>
          <w:szCs w:val="32"/>
        </w:rPr>
        <w:t>一、自然地理与经济概况</w:t>
      </w:r>
    </w:p>
    <w:p>
      <w:pPr>
        <w:spacing w:line="560" w:lineRule="exact"/>
        <w:ind w:firstLine="640"/>
        <w:contextualSpacing/>
        <w:rPr>
          <w:rFonts w:ascii="仿宋_GB2312" w:eastAsia="仿宋_GB2312"/>
          <w:sz w:val="32"/>
          <w:szCs w:val="32"/>
        </w:rPr>
      </w:pPr>
      <w:r>
        <w:rPr>
          <w:rFonts w:hint="eastAsia" w:ascii="仿宋_GB2312" w:eastAsia="仿宋_GB2312"/>
          <w:sz w:val="32"/>
          <w:szCs w:val="32"/>
        </w:rPr>
        <w:t>赤峰市位于内蒙古自治区东南部，蒙冀辽三省区交汇处，辖三区、七旗、二县，总面积</w:t>
      </w:r>
      <w:r>
        <w:rPr>
          <w:rFonts w:ascii="仿宋_GB2312" w:eastAsia="仿宋_GB2312"/>
          <w:sz w:val="32"/>
          <w:szCs w:val="32"/>
        </w:rPr>
        <w:t>90021平方千米。地处内陆，南、北分属燕山北麓及大兴安岭南段，为山地丘陵区；西部为高平原区，东部属辽河平原区。海拔300-2000米。为中温带半干旱大陆性季风气候。位于</w:t>
      </w:r>
      <w:r>
        <w:rPr>
          <w:sz w:val="32"/>
          <w:szCs w:val="32"/>
        </w:rPr>
        <w:fldChar w:fldCharType="begin"/>
      </w:r>
      <w:r>
        <w:rPr>
          <w:sz w:val="32"/>
          <w:szCs w:val="32"/>
        </w:rPr>
        <w:instrText xml:space="preserve"> HYPERLINK "https://baike.so.com/doc/5532730-5754742.html" \t "_blank" </w:instrText>
      </w:r>
      <w:r>
        <w:rPr>
          <w:sz w:val="32"/>
          <w:szCs w:val="32"/>
        </w:rPr>
        <w:fldChar w:fldCharType="separate"/>
      </w:r>
      <w:r>
        <w:rPr>
          <w:rFonts w:hint="eastAsia" w:ascii="仿宋_GB2312" w:eastAsia="仿宋_GB2312"/>
          <w:sz w:val="32"/>
          <w:szCs w:val="32"/>
        </w:rPr>
        <w:t>环渤海</w:t>
      </w:r>
      <w:r>
        <w:rPr>
          <w:rFonts w:ascii="仿宋_GB2312" w:eastAsia="仿宋_GB2312"/>
          <w:sz w:val="32"/>
          <w:szCs w:val="32"/>
        </w:rPr>
        <w:fldChar w:fldCharType="end"/>
      </w:r>
      <w:r>
        <w:rPr>
          <w:rFonts w:hint="eastAsia" w:ascii="仿宋_GB2312" w:eastAsia="仿宋_GB2312"/>
          <w:sz w:val="32"/>
          <w:szCs w:val="32"/>
        </w:rPr>
        <w:t>经济区、京津冀协同发展辐射区和东北经济区的腹地。截至</w:t>
      </w:r>
      <w:r>
        <w:rPr>
          <w:rFonts w:ascii="仿宋_GB2312" w:eastAsia="仿宋_GB2312"/>
          <w:sz w:val="32"/>
          <w:szCs w:val="32"/>
        </w:rPr>
        <w:t>2020年底，赤峰市常住人口403.6万人，为自治区第一人口大市。2020年，赤峰市实现地区生产总值1763.6亿元，其中，第一产业增加值346.4亿元，第二产业增加值550亿元，第三产业增加值867.2亿元，三次产业比例为19.6:31.2:49.2。规模以上原矿采选业产值达80.03亿元，占全年工业总产值（1141.5亿元）的7.01%。以矿产资源为基础的矿业为赤峰市的重要支柱产业。</w:t>
      </w:r>
    </w:p>
    <w:p>
      <w:pPr>
        <w:pStyle w:val="5"/>
        <w:ind w:firstLine="640"/>
        <w:rPr>
          <w:rFonts w:hAnsi="仿宋"/>
          <w:szCs w:val="32"/>
        </w:rPr>
      </w:pPr>
      <w:r>
        <w:rPr>
          <w:rFonts w:hint="eastAsia"/>
          <w:szCs w:val="32"/>
        </w:rPr>
        <w:t>二、矿产资源概况</w:t>
      </w:r>
    </w:p>
    <w:p>
      <w:pPr>
        <w:spacing w:line="560" w:lineRule="exact"/>
        <w:ind w:firstLine="640"/>
        <w:contextualSpacing/>
        <w:rPr>
          <w:rFonts w:ascii="仿宋_GB2312" w:eastAsia="仿宋_GB2312"/>
          <w:sz w:val="32"/>
          <w:szCs w:val="32"/>
        </w:rPr>
      </w:pPr>
      <w:r>
        <w:rPr>
          <w:rFonts w:hint="eastAsia" w:ascii="仿宋_GB2312" w:eastAsia="仿宋_GB2312"/>
          <w:sz w:val="32"/>
          <w:szCs w:val="32"/>
        </w:rPr>
        <w:t>赤峰市矿产资源丰富，素有“中国有色金属之乡”的美誉；成矿地质条件优越，北部、中部、南部矿产特色鲜明。北部属大兴安岭中南段有色金属成矿带，铅、锌、银、铜、锡、钨、铁及稀有金属储量丰富，形成浩布高铅锌银矿、双尖子山银矿、大井铜矿、拜仁达坝</w:t>
      </w:r>
      <w:r>
        <w:rPr>
          <w:rFonts w:ascii="仿宋_GB2312" w:eastAsia="仿宋_GB2312"/>
          <w:sz w:val="32"/>
          <w:szCs w:val="32"/>
        </w:rPr>
        <w:t>-维拉斯托银铅锌锂矿、黄岗铁锡矿等一批矿产集中区。西拉木伦河以南、华北陆块北</w:t>
      </w:r>
      <w:r>
        <w:rPr>
          <w:rFonts w:hint="eastAsia" w:ascii="仿宋_GB2312" w:eastAsia="仿宋_GB2312"/>
          <w:sz w:val="32"/>
          <w:szCs w:val="32"/>
        </w:rPr>
        <w:t>缘深断裂以北的中部地区，为小东沟</w:t>
      </w:r>
      <w:r>
        <w:rPr>
          <w:rFonts w:ascii="仿宋_GB2312" w:eastAsia="仿宋_GB2312"/>
          <w:sz w:val="32"/>
          <w:szCs w:val="32"/>
        </w:rPr>
        <w:t>-库里吐铜、钼、铅、锌成矿带，矿产地集中在油坊地-毕家营子一带，以铅、锌、铜、钼为主。南部地区属华北陆块北缘金、银、铁、铜多金属成矿带，以产出与乌拉山岩群相关的金矿、铁矿为特征，是自治区重要的产金基地，其中敖汉旗是自治区第一产金大县。萤石矿产地遍布全市。</w:t>
      </w:r>
    </w:p>
    <w:p>
      <w:pPr>
        <w:spacing w:line="560" w:lineRule="exact"/>
        <w:ind w:firstLine="640"/>
        <w:contextualSpacing/>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2020年底，已发现矿产资源80余种，纳入《内蒙古自治区矿产资源储量表》的矿种有50种。矿产地1600多处，其中大中型矿产地65处。煤炭资源主要产出在平庄-元宝山盆地和开鲁盆地，煤种主要为褐煤。地热资源开发利用集中在克什克腾旗、敖汉旗、宁城县，居自治区前列，目前以康养、旅游为主，供能为辅，前景可观。铅、锌、锡、银等矿产资源储量丰富，为全市优势矿产资源，其中主要矿产保有金属资源量：铅739.93万吨，锌1291.80万吨，锡36.13万吨，银41905.27吨，均居自治区首位；金279.51吨，铜224.40万吨，位居自治区前3位。石灰石、萤石、硅石、膨润土、叶蜡石等非金属资源储量大、产量稳定。巴林鸡血石为稀有叶蜡石，被誉为“四大国石”之一，兼具经济及文化价值。</w:t>
      </w:r>
    </w:p>
    <w:p>
      <w:pPr>
        <w:pStyle w:val="5"/>
        <w:ind w:firstLine="640"/>
        <w:rPr>
          <w:szCs w:val="32"/>
        </w:rPr>
      </w:pPr>
      <w:r>
        <w:rPr>
          <w:rFonts w:hint="eastAsia"/>
          <w:szCs w:val="32"/>
        </w:rPr>
        <w:t>三、勘查现状</w:t>
      </w:r>
    </w:p>
    <w:p>
      <w:pPr>
        <w:spacing w:line="560" w:lineRule="exact"/>
        <w:ind w:firstLine="640"/>
        <w:contextualSpacing/>
        <w:rPr>
          <w:rFonts w:ascii="仿宋_GB2312" w:eastAsia="仿宋_GB2312"/>
          <w:sz w:val="32"/>
          <w:szCs w:val="32"/>
        </w:rPr>
      </w:pPr>
      <w:r>
        <w:rPr>
          <w:rFonts w:hint="eastAsia" w:ascii="仿宋_GB2312" w:eastAsia="仿宋_GB2312"/>
          <w:sz w:val="32"/>
          <w:szCs w:val="32"/>
        </w:rPr>
        <w:t>赤峰市勘查区域较广、矿种较全，其中勘查程度较高的铜、铅、锌、金、银等金属矿种，为资源安全提供了保障。截至</w:t>
      </w:r>
      <w:r>
        <w:rPr>
          <w:rFonts w:ascii="仿宋_GB2312" w:eastAsia="仿宋_GB2312"/>
          <w:sz w:val="32"/>
          <w:szCs w:val="32"/>
        </w:rPr>
        <w:t>2020年底，在期探矿权440宗，登记勘查总面积4550.61平方千米。按勘查程度分类，普查（预查）82宗、详查81宗、</w:t>
      </w:r>
      <w:r>
        <w:rPr>
          <w:rFonts w:hint="eastAsia" w:ascii="仿宋_GB2312" w:eastAsia="仿宋_GB2312"/>
          <w:sz w:val="32"/>
          <w:szCs w:val="32"/>
        </w:rPr>
        <w:t>勘探</w:t>
      </w:r>
      <w:r>
        <w:rPr>
          <w:rFonts w:ascii="仿宋_GB2312" w:eastAsia="仿宋_GB2312"/>
          <w:sz w:val="32"/>
          <w:szCs w:val="32"/>
        </w:rPr>
        <w:t>277宗，详查及以上占81.4%；按矿种类型分类，能源矿产5宗、金属矿产398宗、非金属矿产34宗、地热和矿泉水3宗。金属矿产探矿权占90.5%，其中金属矿产详查以上占全部探矿权75.5%。</w:t>
      </w:r>
    </w:p>
    <w:p>
      <w:pPr>
        <w:pStyle w:val="5"/>
        <w:ind w:firstLine="640"/>
        <w:rPr>
          <w:szCs w:val="32"/>
        </w:rPr>
      </w:pPr>
      <w:r>
        <w:rPr>
          <w:rFonts w:hint="eastAsia"/>
          <w:szCs w:val="32"/>
        </w:rPr>
        <w:t>四、开发利用现状</w:t>
      </w:r>
    </w:p>
    <w:p>
      <w:pPr>
        <w:spacing w:line="560" w:lineRule="exact"/>
        <w:ind w:firstLine="640"/>
        <w:contextualSpacing/>
        <w:rPr>
          <w:rFonts w:ascii="仿宋_GB2312" w:eastAsia="仿宋_GB2312"/>
          <w:sz w:val="32"/>
          <w:szCs w:val="32"/>
        </w:rPr>
      </w:pPr>
      <w:r>
        <w:rPr>
          <w:rFonts w:hint="eastAsia" w:ascii="仿宋_GB2312" w:eastAsia="仿宋_GB2312"/>
          <w:sz w:val="32"/>
          <w:szCs w:val="32"/>
        </w:rPr>
        <w:t>赤峰市采矿权数量非金属类最多，金属类次之，产值以有色金属最高。截至</w:t>
      </w:r>
      <w:r>
        <w:rPr>
          <w:rFonts w:ascii="仿宋_GB2312" w:eastAsia="仿宋_GB2312"/>
          <w:sz w:val="32"/>
          <w:szCs w:val="32"/>
        </w:rPr>
        <w:t>2020年底，全市采矿权730宗。按开采矿种分：煤炭14个，地热1个，金属269个，非金属443个（含建筑用砂石土类），地下水1个，矿泉水2个，非金属和金属矿山分占矿山总数的60.7%和36.9%。按规模分，大型27个，中型137个，大中型矿山比例为22.8%，大中型矿山中金属矿山81个，占比为49.4%。</w:t>
      </w:r>
    </w:p>
    <w:p>
      <w:pPr>
        <w:spacing w:line="560" w:lineRule="exact"/>
        <w:ind w:firstLine="640"/>
        <w:contextualSpacing/>
        <w:rPr>
          <w:rFonts w:ascii="仿宋_GB2312" w:eastAsia="仿宋_GB2312"/>
          <w:sz w:val="32"/>
          <w:szCs w:val="32"/>
        </w:rPr>
      </w:pPr>
      <w:bookmarkStart w:id="3" w:name="_Toc505614492"/>
      <w:r>
        <w:rPr>
          <w:rFonts w:ascii="仿宋_GB2312" w:eastAsia="仿宋_GB2312"/>
          <w:sz w:val="32"/>
          <w:szCs w:val="32"/>
        </w:rPr>
        <w:t>2020年规模以上原矿采选业完成产值80.03亿元，其中煤炭开采和洗选业31.67亿元，黑色金属采选业9.09亿元，有色金属采选业35.21亿元，非金属采选业4.06亿元。</w:t>
      </w:r>
    </w:p>
    <w:p>
      <w:pPr>
        <w:pStyle w:val="3"/>
      </w:pPr>
      <w:bookmarkStart w:id="4" w:name="_Toc106610312"/>
      <w:r>
        <w:rPr>
          <w:rFonts w:hint="eastAsia"/>
        </w:rPr>
        <w:t>第二节</w:t>
      </w:r>
      <w:r>
        <w:t xml:space="preserve"> </w:t>
      </w:r>
      <w:r>
        <w:rPr>
          <w:rFonts w:hint="eastAsia"/>
        </w:rPr>
        <w:t>上轮规划实施成效</w:t>
      </w:r>
      <w:bookmarkEnd w:id="3"/>
      <w:bookmarkEnd w:id="4"/>
    </w:p>
    <w:p>
      <w:pPr>
        <w:spacing w:line="560" w:lineRule="exact"/>
        <w:ind w:firstLine="640"/>
        <w:contextualSpacing/>
        <w:rPr>
          <w:rFonts w:ascii="仿宋_GB2312" w:eastAsia="仿宋_GB2312"/>
          <w:sz w:val="32"/>
          <w:szCs w:val="32"/>
        </w:rPr>
      </w:pPr>
      <w:r>
        <w:rPr>
          <w:rFonts w:hint="eastAsia" w:ascii="仿宋_GB2312" w:eastAsia="仿宋_GB2312"/>
          <w:sz w:val="32"/>
          <w:szCs w:val="32"/>
        </w:rPr>
        <w:t>“十三五”期间，矿产资源综合研究和勘查取得良好成果，矿业开发利用结构全面优化，绿色矿山建设稳步推进，矿山地质环境显著改善，矿产资源管理机制进一步优化，为赤峰市经济发展做出了重要贡献。</w:t>
      </w:r>
    </w:p>
    <w:p>
      <w:pPr>
        <w:pStyle w:val="5"/>
        <w:ind w:firstLine="640"/>
        <w:rPr>
          <w:szCs w:val="32"/>
        </w:rPr>
      </w:pPr>
      <w:r>
        <w:rPr>
          <w:rFonts w:hint="eastAsia"/>
          <w:szCs w:val="32"/>
        </w:rPr>
        <w:t>一、综合研究有的放矢，勘查工作成果显著</w:t>
      </w:r>
    </w:p>
    <w:p>
      <w:pPr>
        <w:spacing w:line="560" w:lineRule="exact"/>
        <w:ind w:firstLine="640"/>
        <w:contextualSpacing/>
        <w:rPr>
          <w:rFonts w:ascii="仿宋_GB2312" w:eastAsia="仿宋_GB2312"/>
          <w:sz w:val="32"/>
          <w:szCs w:val="32"/>
        </w:rPr>
      </w:pPr>
      <w:r>
        <w:rPr>
          <w:rFonts w:hint="eastAsia" w:ascii="仿宋_GB2312" w:eastAsia="仿宋_GB2312"/>
          <w:sz w:val="32"/>
          <w:szCs w:val="32"/>
        </w:rPr>
        <w:t>上轮规划实施期间，各级财政及社会勘查基金大量投入，取得了丰硕的找矿成果。实施了全国重要矿集区找矿预测项目，对浩布高矿集区进行找矿预测，圈定了区内锡的找矿靶区。开展了全市地热资源调查，总结了嫩江</w:t>
      </w:r>
      <w:r>
        <w:rPr>
          <w:rFonts w:ascii="仿宋_GB2312" w:eastAsia="仿宋_GB2312"/>
          <w:sz w:val="32"/>
          <w:szCs w:val="32"/>
        </w:rPr>
        <w:t>-八里罕深大断裂带等为断裂控制的构造型地热区，开鲁盆地为沉积盆地型地热区，划定了包括赤峰南部在内的地热远景区5处，为地热清洁能源的勘查开发奠定了基础。进行了全市矿山地质环境详细调查，对矿山地质环境全面摸底，为矿山环境治理提供了基础数据。金属矿产勘查取得了重大突破，发现并勘查了维拉斯托锂多金属矿、东山铅锌多金属矿等大型矿床；在白音诺尔铅锌矿、红岭铅锌矿床、大井铜矿等老矿山的深部及外围取得了丰硕的找矿成果，新增金属资源量：铅锌535.10万吨</w:t>
      </w:r>
      <w:r>
        <w:rPr>
          <w:rFonts w:hint="eastAsia" w:ascii="仿宋_GB2312" w:eastAsia="仿宋_GB2312"/>
          <w:sz w:val="32"/>
          <w:szCs w:val="32"/>
        </w:rPr>
        <w:t>、银</w:t>
      </w:r>
      <w:r>
        <w:rPr>
          <w:rFonts w:ascii="仿宋_GB2312" w:eastAsia="仿宋_GB2312"/>
          <w:sz w:val="32"/>
          <w:szCs w:val="32"/>
        </w:rPr>
        <w:t>17954.23吨</w:t>
      </w:r>
      <w:r>
        <w:rPr>
          <w:rFonts w:hint="eastAsia" w:ascii="仿宋_GB2312" w:eastAsia="仿宋_GB2312"/>
          <w:sz w:val="32"/>
          <w:szCs w:val="32"/>
        </w:rPr>
        <w:t>、铜</w:t>
      </w:r>
      <w:r>
        <w:rPr>
          <w:rFonts w:ascii="仿宋_GB2312" w:eastAsia="仿宋_GB2312"/>
          <w:sz w:val="32"/>
          <w:szCs w:val="32"/>
        </w:rPr>
        <w:t>35.28万吨，矿产资源保障能力大幅提高。</w:t>
      </w:r>
    </w:p>
    <w:p>
      <w:pPr>
        <w:pStyle w:val="5"/>
        <w:ind w:firstLine="640"/>
        <w:rPr>
          <w:szCs w:val="32"/>
        </w:rPr>
      </w:pPr>
      <w:r>
        <w:rPr>
          <w:rFonts w:hint="eastAsia"/>
          <w:szCs w:val="32"/>
        </w:rPr>
        <w:t>二、开发利用结构逐步优化，资源开发趋于合理</w:t>
      </w:r>
    </w:p>
    <w:p>
      <w:pPr>
        <w:spacing w:line="560" w:lineRule="exact"/>
        <w:ind w:firstLine="640"/>
        <w:contextualSpacing/>
        <w:rPr>
          <w:rFonts w:ascii="仿宋_GB2312" w:eastAsia="仿宋_GB2312"/>
          <w:sz w:val="32"/>
          <w:szCs w:val="32"/>
        </w:rPr>
      </w:pPr>
      <w:r>
        <w:rPr>
          <w:rFonts w:hint="eastAsia" w:ascii="仿宋_GB2312" w:eastAsia="仿宋_GB2312"/>
          <w:sz w:val="32"/>
          <w:szCs w:val="32"/>
        </w:rPr>
        <w:t>矿山数量和大中型矿山比例呈现一减一增态势。通过保护区内退出、矿业权整合等方式，采矿权数由</w:t>
      </w:r>
      <w:r>
        <w:rPr>
          <w:rFonts w:ascii="仿宋_GB2312" w:eastAsia="仿宋_GB2312"/>
          <w:sz w:val="32"/>
          <w:szCs w:val="32"/>
        </w:rPr>
        <w:t>2015年的831个减少到2020年的730个，大中型矿山比例由11.76%增加到22.47%，其中保护区内退出工矿企业110家。矿产资源开发利用“三率”水平达到国家指标要求。煤炭、铁、铅、锌、铜、金、银、石灰石等重要矿产资源规模化开采水平逐步提高。其中，落后煤炭产能淘汰成效显著：对规模小、产能低、存在安全隐患的煤矿予以关闭；对超规模开采严令禁止；煤炭矿山由2015年的33家，减少到2020年的14家，年产能由2015年的2406.55万吨减少到2020年的1733.3万吨，符合“十三五”期间调整煤炭过剩产能及生态环境保护的相</w:t>
      </w:r>
      <w:r>
        <w:rPr>
          <w:rFonts w:hint="eastAsia" w:ascii="仿宋_GB2312" w:eastAsia="仿宋_GB2312"/>
          <w:sz w:val="32"/>
          <w:szCs w:val="32"/>
        </w:rPr>
        <w:t>关要求，促进煤炭企业转型和地方经济结构优化。</w:t>
      </w:r>
    </w:p>
    <w:p>
      <w:pPr>
        <w:pStyle w:val="5"/>
        <w:ind w:firstLine="640"/>
        <w:rPr>
          <w:szCs w:val="32"/>
        </w:rPr>
      </w:pPr>
      <w:r>
        <w:rPr>
          <w:rFonts w:hint="eastAsia"/>
          <w:szCs w:val="32"/>
        </w:rPr>
        <w:t>三、绿色矿业发展稳步推进，绿色矿山建设取得成效</w:t>
      </w:r>
    </w:p>
    <w:p>
      <w:pPr>
        <w:spacing w:line="560" w:lineRule="exact"/>
        <w:ind w:firstLine="640"/>
        <w:contextualSpacing/>
        <w:rPr>
          <w:rFonts w:ascii="仿宋_GB2312" w:eastAsia="仿宋_GB2312"/>
          <w:sz w:val="32"/>
          <w:szCs w:val="32"/>
        </w:rPr>
      </w:pPr>
      <w:r>
        <w:rPr>
          <w:rFonts w:hint="eastAsia" w:ascii="仿宋_GB2312" w:eastAsia="仿宋_GB2312"/>
          <w:sz w:val="32"/>
          <w:szCs w:val="32"/>
        </w:rPr>
        <w:t>为稳步科学推进全市绿色矿山建设进程，发布实施了《赤峰市绿色矿山建设规划》。截至</w:t>
      </w:r>
      <w:r>
        <w:rPr>
          <w:rFonts w:ascii="仿宋_GB2312" w:eastAsia="仿宋_GB2312"/>
          <w:sz w:val="32"/>
          <w:szCs w:val="32"/>
        </w:rPr>
        <w:t>2020年，全市有55</w:t>
      </w:r>
      <w:r>
        <w:rPr>
          <w:rFonts w:hint="eastAsia" w:ascii="仿宋_GB2312" w:eastAsia="仿宋_GB2312"/>
          <w:sz w:val="32"/>
          <w:szCs w:val="32"/>
        </w:rPr>
        <w:t>家矿山纳入绿色矿山名录，其中</w:t>
      </w:r>
      <w:r>
        <w:rPr>
          <w:rFonts w:ascii="仿宋_GB2312" w:eastAsia="仿宋_GB2312"/>
          <w:sz w:val="32"/>
          <w:szCs w:val="32"/>
        </w:rPr>
        <w:t>17家纳入全国绿色矿山名录中。根据自治区绿色矿业发展格局定位，针对市北部有色金属矿业集中、产业发展较为成熟的特点，积极推进北部绿色矿业发展示范区建设，区内大中型矿山比例达60%（12家/20家）</w:t>
      </w:r>
      <w:r>
        <w:rPr>
          <w:rFonts w:hint="eastAsia" w:ascii="仿宋_GB2312" w:eastAsia="仿宋_GB2312"/>
          <w:sz w:val="32"/>
          <w:szCs w:val="32"/>
        </w:rPr>
        <w:t>，绿色矿山比例达</w:t>
      </w:r>
      <w:r>
        <w:rPr>
          <w:rFonts w:ascii="仿宋_GB2312" w:eastAsia="仿宋_GB2312"/>
          <w:sz w:val="32"/>
          <w:szCs w:val="32"/>
        </w:rPr>
        <w:t>70%（14家/20家）</w:t>
      </w:r>
      <w:r>
        <w:rPr>
          <w:rFonts w:hint="eastAsia" w:ascii="仿宋_GB2312" w:eastAsia="仿宋_GB2312"/>
          <w:sz w:val="32"/>
          <w:szCs w:val="32"/>
        </w:rPr>
        <w:t>。</w:t>
      </w:r>
      <w:r>
        <w:rPr>
          <w:rFonts w:ascii="仿宋_GB2312" w:eastAsia="仿宋_GB2312"/>
          <w:sz w:val="32"/>
          <w:szCs w:val="32"/>
        </w:rPr>
        <w:t>2020年底，赤北绿色矿业发展示范区成功列入国家绿色矿业发展示范区。</w:t>
      </w:r>
    </w:p>
    <w:p>
      <w:pPr>
        <w:pStyle w:val="5"/>
        <w:ind w:firstLine="640"/>
        <w:rPr>
          <w:szCs w:val="32"/>
        </w:rPr>
      </w:pPr>
      <w:r>
        <w:rPr>
          <w:rFonts w:hint="eastAsia"/>
          <w:szCs w:val="32"/>
        </w:rPr>
        <w:t>四、矿山环境保护与治理大力投入，生态环境改善显著</w:t>
      </w:r>
    </w:p>
    <w:p>
      <w:pPr>
        <w:spacing w:line="560" w:lineRule="exact"/>
        <w:ind w:firstLine="640"/>
        <w:contextualSpacing/>
        <w:rPr>
          <w:rFonts w:ascii="仿宋_GB2312" w:eastAsia="仿宋_GB2312"/>
          <w:sz w:val="32"/>
          <w:szCs w:val="32"/>
        </w:rPr>
      </w:pPr>
      <w:r>
        <w:rPr>
          <w:rFonts w:hint="eastAsia" w:ascii="仿宋_GB2312" w:eastAsia="仿宋_GB2312"/>
          <w:sz w:val="32"/>
          <w:szCs w:val="32"/>
        </w:rPr>
        <w:t>矿山地质环境恢复治理工作有序推进。生产矿山严格落实“边生产，边治理”要</w:t>
      </w:r>
      <w:r>
        <w:rPr>
          <w:rFonts w:ascii="仿宋_GB2312" w:eastAsia="仿宋_GB2312"/>
          <w:sz w:val="32"/>
          <w:szCs w:val="32"/>
        </w:rPr>
        <w:t>求</w:t>
      </w:r>
      <w:r>
        <w:rPr>
          <w:rFonts w:hint="eastAsia" w:ascii="仿宋_GB2312" w:eastAsia="仿宋_GB2312"/>
          <w:sz w:val="32"/>
          <w:szCs w:val="32"/>
        </w:rPr>
        <w:t>，“十三五”期间，全市生产矿山共投入资金</w:t>
      </w:r>
      <w:r>
        <w:rPr>
          <w:rFonts w:ascii="仿宋_GB2312" w:eastAsia="仿宋_GB2312"/>
          <w:sz w:val="32"/>
          <w:szCs w:val="32"/>
        </w:rPr>
        <w:t>6.53亿元，完成治理面积25.46平方千米；地方投入历史遗留及无主矿山治理资金6.18亿元，完成治理面积38.88平方千米。土地损毁、矿山地质安全隐患、地形地貌景观破坏等矿山地质环境问题得到了有效治理。</w:t>
      </w:r>
    </w:p>
    <w:p>
      <w:pPr>
        <w:pStyle w:val="5"/>
        <w:ind w:firstLine="640"/>
        <w:rPr>
          <w:szCs w:val="32"/>
        </w:rPr>
      </w:pPr>
      <w:r>
        <w:rPr>
          <w:rFonts w:hint="eastAsia"/>
          <w:szCs w:val="32"/>
        </w:rPr>
        <w:t>五、矿产资源管理深化改革，优化监管制度</w:t>
      </w:r>
    </w:p>
    <w:p>
      <w:pPr>
        <w:spacing w:line="560" w:lineRule="exact"/>
        <w:ind w:firstLine="640"/>
        <w:contextualSpacing/>
        <w:rPr>
          <w:rFonts w:ascii="仿宋_GB2312" w:eastAsia="仿宋_GB2312"/>
          <w:sz w:val="32"/>
          <w:szCs w:val="32"/>
        </w:rPr>
      </w:pPr>
      <w:r>
        <w:rPr>
          <w:rFonts w:hint="eastAsia" w:ascii="仿宋_GB2312" w:eastAsia="仿宋_GB2312"/>
          <w:sz w:val="32"/>
          <w:szCs w:val="32"/>
        </w:rPr>
        <w:t>赤峰市配合自治区开展了矿产资源领域突出问题专项整治和煤炭资源领域违规违法问题专项整治工作，完善了相应的制度，相关领域违规违法问题得到深化整治。全面推行“双随机一公开”制度，加强矿产资源勘查开发与保护管理。健全矿业权市场交易体系，以招拍挂市场竞争方式出让矿业权。推动简政放权和职能转变，实行建筑用砂石土矿业权审批下放，优化矿业权审批程序。按照全市矿业权出让收益市场基准价标准，逐步完善矿产资源产权制度与收益分配制度。加强勘查开采公示信息抽查，逐步由重事前审批转向重事中、事后监管。</w:t>
      </w:r>
    </w:p>
    <w:p>
      <w:pPr>
        <w:pStyle w:val="3"/>
      </w:pPr>
      <w:bookmarkStart w:id="5" w:name="_Toc106610313"/>
      <w:r>
        <w:rPr>
          <w:rFonts w:hint="eastAsia"/>
        </w:rPr>
        <w:t>第三节</w:t>
      </w:r>
      <w:r>
        <w:t xml:space="preserve"> </w:t>
      </w:r>
      <w:r>
        <w:rPr>
          <w:rFonts w:hint="eastAsia"/>
        </w:rPr>
        <w:t>形势与要求</w:t>
      </w:r>
      <w:bookmarkEnd w:id="5"/>
    </w:p>
    <w:p>
      <w:pPr>
        <w:spacing w:line="560" w:lineRule="exact"/>
        <w:ind w:firstLine="640"/>
        <w:contextualSpacing/>
        <w:rPr>
          <w:rFonts w:ascii="仿宋_GB2312" w:eastAsia="仿宋_GB2312"/>
          <w:sz w:val="32"/>
          <w:szCs w:val="32"/>
        </w:rPr>
      </w:pPr>
      <w:r>
        <w:rPr>
          <w:rFonts w:hint="eastAsia" w:ascii="仿宋_GB2312" w:eastAsia="仿宋_GB2312"/>
          <w:sz w:val="32"/>
          <w:szCs w:val="32"/>
        </w:rPr>
        <w:t>“十四五”时期，世界将经历百年未有之大变局，新一轮科技革命深入发展，国际力量对比深刻调整，新冠肺炎疫情影响广泛深远，不稳定、不确定性明显增加，对矿业产生巨大影响。全球矿业市场艰难回升，我国经济发展需要稳定和安全的矿产资源供应保障。而受到矿产品价格剧烈震荡、国际地缘政治分裂、矿山生产受阻、海运不畅及“双碳”政策限制等因素影响，矿产品供应缺口加大，亟需加大找矿力度，用“最小的经济代价”保障资源的稳定和安全供给。自治区坚定不移走以生态优先绿色发展为导向的高质量发展新路子、重塑矿业勘查开发空间格局。赤峰市在加快建设“两个屏障”、“两个基地”、“一个桥头堡”中发挥蒙东地区高质量发展排头兵的任务艰巨，把握自治区“双子星座”、“五个发展定位”、“锡赤通”区域一体化的部署机遇，加快融入东北振兴和全国发展大局。因此，赤峰市矿业要抓住市场回升、高质量发展的机遇，积极面对绿色转型、市场震荡的挑战，积极建设能源资源基地和国家规划矿区，完成“提高质量、做大总量”的双重任务。</w:t>
      </w:r>
    </w:p>
    <w:p>
      <w:pPr>
        <w:spacing w:line="560" w:lineRule="exact"/>
        <w:ind w:firstLine="640"/>
        <w:contextualSpacing/>
        <w:rPr>
          <w:rFonts w:ascii="仿宋_GB2312" w:eastAsia="仿宋_GB2312"/>
          <w:sz w:val="32"/>
          <w:szCs w:val="32"/>
        </w:rPr>
      </w:pPr>
      <w:r>
        <w:rPr>
          <w:rFonts w:hint="eastAsia" w:ascii="仿宋_GB2312" w:eastAsia="仿宋_GB2312"/>
          <w:sz w:val="32"/>
          <w:szCs w:val="32"/>
        </w:rPr>
        <w:t>生态优先、绿色发展对矿产资源勘查开发提出了新要求。全面践行“绿水青山就是金山银山”理念，实行最严格的生态环境保护制度，要求赤峰市大力推进绿色勘查，全面推进绿色矿山与绿色矿业建设，严格执行矿山生态环境保护与治理恢复制度，推动在资源禀赋分布集中的区域矿业集约化、规模化发展，有序推动绿色低碳发展，努力实现经济发展和环境保护协同共进。</w:t>
      </w:r>
    </w:p>
    <w:p>
      <w:pPr>
        <w:spacing w:line="560" w:lineRule="exact"/>
        <w:ind w:firstLine="640"/>
        <w:contextualSpacing/>
        <w:rPr>
          <w:rFonts w:ascii="仿宋_GB2312" w:eastAsia="仿宋_GB2312"/>
          <w:sz w:val="32"/>
          <w:szCs w:val="32"/>
        </w:rPr>
      </w:pPr>
      <w:r>
        <w:rPr>
          <w:rFonts w:hint="eastAsia" w:ascii="仿宋_GB2312" w:eastAsia="仿宋_GB2312"/>
          <w:sz w:val="32"/>
          <w:szCs w:val="32"/>
        </w:rPr>
        <w:t>资源安全保障对矿产资源勘查开发提出了新需求。“十四五”期间，赤峰市要从国家资源安全出发，加大铁、铜、金、锂等战略性矿产的勘查力度，扩大铅、锌、锡等优势资源的储备，兼顾地热、矿泉水、砂石土等矿产的勘查开发，满足地方建设和经济发展需求。“十三五”期间，全市探矿权由</w:t>
      </w:r>
      <w:r>
        <w:rPr>
          <w:rFonts w:ascii="仿宋_GB2312" w:eastAsia="仿宋_GB2312"/>
          <w:sz w:val="32"/>
          <w:szCs w:val="32"/>
        </w:rPr>
        <w:t>718宗下降为440宗，勘查投入大幅缩减，显示勘查后续乏力，在资源禀赋优越的成矿区带争取财政资金、吸引鼓励社会资金投入，加大勘查，引入先进、绿色技术，提高勘查投入产出比。在现有大中型矿产地开展外围及深部勘查，在空白区及勘查程度较低的区域有序推进勘查。</w:t>
      </w:r>
    </w:p>
    <w:p>
      <w:pPr>
        <w:spacing w:line="560" w:lineRule="exact"/>
        <w:ind w:firstLine="640"/>
        <w:contextualSpacing/>
        <w:rPr>
          <w:rFonts w:ascii="仿宋_GB2312" w:eastAsia="仿宋_GB2312"/>
          <w:sz w:val="32"/>
          <w:szCs w:val="32"/>
        </w:rPr>
      </w:pPr>
      <w:r>
        <w:rPr>
          <w:rFonts w:hint="eastAsia" w:ascii="仿宋_GB2312" w:eastAsia="仿宋_GB2312"/>
          <w:sz w:val="32"/>
          <w:szCs w:val="32"/>
        </w:rPr>
        <w:t>高质量发展要求矿山规模和资源开发利用方式优化。我市小型矿山数量较多，资源利用率不高，产能占比不足</w:t>
      </w:r>
      <w:r>
        <w:rPr>
          <w:rFonts w:ascii="仿宋_GB2312" w:eastAsia="仿宋_GB2312"/>
          <w:sz w:val="32"/>
          <w:szCs w:val="32"/>
        </w:rPr>
        <w:t>20%。要严格按照国家、自治区要求，通过提高矿产开发准入规模，加强矿山整合和闭坑管理，合理控制采矿权总数，形成以大中型矿山为主体的矿业新格局；另一方面优化产业布局，以科技创新、资源集约节约和高效利用</w:t>
      </w:r>
      <w:r>
        <w:rPr>
          <w:rFonts w:hint="eastAsia" w:ascii="仿宋_GB2312" w:eastAsia="仿宋_GB2312"/>
          <w:sz w:val="32"/>
          <w:szCs w:val="32"/>
        </w:rPr>
        <w:t>为重点，不断提升矿山技术、装备水平，克服开发利用方式转变的“阵痛”，实现资源综合利用效率最优化。</w:t>
      </w:r>
    </w:p>
    <w:p>
      <w:pPr>
        <w:spacing w:line="560" w:lineRule="exact"/>
        <w:ind w:firstLine="640"/>
        <w:contextualSpacing/>
        <w:rPr>
          <w:rFonts w:ascii="仿宋_GB2312" w:eastAsia="仿宋_GB2312"/>
          <w:sz w:val="32"/>
          <w:szCs w:val="32"/>
        </w:rPr>
      </w:pPr>
      <w:r>
        <w:rPr>
          <w:rFonts w:hint="eastAsia" w:ascii="仿宋_GB2312" w:eastAsia="仿宋_GB2312"/>
          <w:sz w:val="32"/>
          <w:szCs w:val="32"/>
        </w:rPr>
        <w:t>营商环境要求矿产资源管理机制全面深化改革。面临当前矿业经济动荡、企业经营困难、生态约束趋紧、民生诉求多源等问题，管理领域的深层次矛盾需进一步深化解决，以促进矿业市场规则完善。推进矿业权联审联批，简化采矿权抵押信息公示流程，减少申请资料，完善“多规合一”建设，开通微信端、网页端等平台。推行标准化建设，市、旗两级实现收件材料、登记流程和登记时限“三统一”，证书证明实现“电子证照”。提高市场对赤峰市矿业前景、相关政策落实的信心，加强矿业发展后劲。</w:t>
      </w:r>
    </w:p>
    <w:p>
      <w:pPr>
        <w:spacing w:line="560" w:lineRule="exact"/>
        <w:ind w:firstLine="640"/>
        <w:contextualSpacing/>
        <w:rPr>
          <w:rFonts w:ascii="仿宋_GB2312" w:eastAsia="仿宋_GB2312"/>
          <w:sz w:val="32"/>
          <w:szCs w:val="32"/>
        </w:rPr>
      </w:pPr>
      <w:r>
        <w:rPr>
          <w:rFonts w:ascii="仿宋_GB2312" w:eastAsia="仿宋_GB2312"/>
          <w:sz w:val="32"/>
          <w:szCs w:val="32"/>
        </w:rPr>
        <w:br w:type="page"/>
      </w:r>
    </w:p>
    <w:p>
      <w:pPr>
        <w:pStyle w:val="2"/>
        <w:rPr>
          <w:szCs w:val="32"/>
        </w:rPr>
      </w:pPr>
      <w:bookmarkStart w:id="6" w:name="_Toc106610314"/>
      <w:r>
        <w:rPr>
          <w:rFonts w:hint="eastAsia"/>
          <w:szCs w:val="32"/>
        </w:rPr>
        <w:t>第二章</w:t>
      </w:r>
      <w:r>
        <w:rPr>
          <w:szCs w:val="32"/>
        </w:rPr>
        <w:t xml:space="preserve"> </w:t>
      </w:r>
      <w:r>
        <w:rPr>
          <w:rFonts w:hint="eastAsia"/>
          <w:szCs w:val="32"/>
        </w:rPr>
        <w:t>指导原则与规划目标</w:t>
      </w:r>
      <w:bookmarkEnd w:id="6"/>
    </w:p>
    <w:p>
      <w:pPr>
        <w:pStyle w:val="3"/>
      </w:pPr>
      <w:bookmarkStart w:id="7" w:name="_Toc106610315"/>
      <w:bookmarkStart w:id="8" w:name="_Toc505614495"/>
      <w:r>
        <w:rPr>
          <w:rFonts w:hint="eastAsia"/>
        </w:rPr>
        <w:t>第一节</w:t>
      </w:r>
      <w:r>
        <w:t xml:space="preserve"> </w:t>
      </w:r>
      <w:r>
        <w:rPr>
          <w:rFonts w:hint="eastAsia"/>
        </w:rPr>
        <w:t>指导思想</w:t>
      </w:r>
      <w:bookmarkEnd w:id="7"/>
      <w:bookmarkEnd w:id="8"/>
    </w:p>
    <w:p>
      <w:pPr>
        <w:spacing w:line="560" w:lineRule="exact"/>
        <w:ind w:firstLine="640"/>
        <w:contextualSpacing/>
        <w:rPr>
          <w:rFonts w:ascii="仿宋_GB2312" w:eastAsia="仿宋_GB2312"/>
          <w:sz w:val="32"/>
          <w:szCs w:val="32"/>
        </w:rPr>
      </w:pPr>
      <w:r>
        <w:rPr>
          <w:rFonts w:hint="eastAsia" w:ascii="仿宋_GB2312" w:eastAsia="仿宋_GB2312"/>
          <w:sz w:val="32"/>
          <w:szCs w:val="32"/>
        </w:rPr>
        <w:t>以习近平新时代中国特色社会主义思想为指导，全面贯彻十九大和十九届历次全会精神，深入贯彻习近平总书记对内蒙古重要讲话重要指示批示精神，统筹推进“五位一体”总体布局，协调推进“四个全面”战略布局，贯彻落实自治区“两个屏障”“两大基地”“一个桥头堡”的战略定位，以生态优先绿色发展为导向，以推动高质量发展为主题，以深化供给侧结构性改革为主线，优化矿产资源勘查开发布局，推动能源资源基地和国家规划矿区建设，推进重要矿产矿业权整合，提高矿产资源利用效率，强化绿色矿山建设和矿山地质环境恢复治理，深化矿产资源管理改革，为赤峰市步入更高质量、更有效率、更加公平、更可持续、更为安全的发展阶段贡献力量。</w:t>
      </w:r>
    </w:p>
    <w:p>
      <w:pPr>
        <w:spacing w:line="560" w:lineRule="exact"/>
        <w:ind w:firstLine="640"/>
        <w:contextualSpacing/>
        <w:rPr>
          <w:rFonts w:ascii="仿宋_GB2312" w:eastAsia="仿宋_GB2312"/>
          <w:sz w:val="32"/>
          <w:szCs w:val="32"/>
        </w:rPr>
      </w:pPr>
    </w:p>
    <w:p>
      <w:pPr>
        <w:pStyle w:val="3"/>
      </w:pPr>
      <w:bookmarkStart w:id="9" w:name="_Toc505614496"/>
      <w:bookmarkStart w:id="10" w:name="_Toc106610316"/>
      <w:r>
        <w:rPr>
          <w:rFonts w:hint="eastAsia"/>
        </w:rPr>
        <w:t>第二节</w:t>
      </w:r>
      <w:r>
        <w:t xml:space="preserve"> </w:t>
      </w:r>
      <w:r>
        <w:rPr>
          <w:rFonts w:hint="eastAsia"/>
        </w:rPr>
        <w:t>基本原则</w:t>
      </w:r>
      <w:bookmarkEnd w:id="9"/>
      <w:bookmarkEnd w:id="10"/>
    </w:p>
    <w:p>
      <w:pPr>
        <w:spacing w:line="560" w:lineRule="exact"/>
        <w:ind w:firstLine="640"/>
        <w:contextualSpacing/>
        <w:rPr>
          <w:rFonts w:ascii="仿宋_GB2312" w:eastAsia="仿宋_GB2312"/>
          <w:sz w:val="32"/>
          <w:szCs w:val="32"/>
        </w:rPr>
      </w:pPr>
      <w:r>
        <w:rPr>
          <w:rFonts w:hint="eastAsia" w:ascii="仿宋_GB2312" w:eastAsia="仿宋_GB2312"/>
          <w:sz w:val="32"/>
          <w:szCs w:val="32"/>
        </w:rPr>
        <w:t>生态优先，绿色发展。全面践行“绿水青山就是金山银山”的发展理念，落实“三区三线”、“三线一单”的管控要求，合理控制开发总量和强度，推动绿色勘查、绿色矿山建设，形成资源开发、生态保护和民生改善共赢的局面。</w:t>
      </w:r>
    </w:p>
    <w:p>
      <w:pPr>
        <w:spacing w:line="560" w:lineRule="exact"/>
        <w:ind w:firstLine="627" w:firstLineChars="196"/>
        <w:contextualSpacing/>
        <w:rPr>
          <w:rFonts w:ascii="仿宋_GB2312" w:eastAsia="仿宋_GB2312"/>
          <w:sz w:val="32"/>
          <w:szCs w:val="32"/>
        </w:rPr>
      </w:pPr>
      <w:r>
        <w:rPr>
          <w:rFonts w:hint="eastAsia" w:ascii="仿宋_GB2312" w:eastAsia="仿宋_GB2312"/>
          <w:sz w:val="32"/>
          <w:szCs w:val="32"/>
        </w:rPr>
        <w:t>勘查有序，资源保障。夯实基础地质工作，加大铅、锌、铜、金、银、铁等资源的勘查力度，兼顾其他、分片实施、点面结合、有序推进，促进查明矿产资源储量持续增加，保障国家矿产资源安全。</w:t>
      </w:r>
    </w:p>
    <w:p>
      <w:pPr>
        <w:spacing w:line="560" w:lineRule="exact"/>
        <w:ind w:firstLine="640"/>
        <w:contextualSpacing/>
        <w:rPr>
          <w:rFonts w:ascii="仿宋_GB2312" w:eastAsia="仿宋_GB2312"/>
          <w:sz w:val="32"/>
          <w:szCs w:val="32"/>
        </w:rPr>
      </w:pPr>
      <w:r>
        <w:rPr>
          <w:rFonts w:hint="eastAsia" w:ascii="仿宋_GB2312" w:eastAsia="仿宋_GB2312"/>
          <w:sz w:val="32"/>
          <w:szCs w:val="32"/>
        </w:rPr>
        <w:t>优化结构，</w:t>
      </w:r>
      <w:r>
        <w:rPr>
          <w:rFonts w:hint="eastAsia" w:ascii="仿宋_GB2312" w:eastAsia="仿宋_GB2312"/>
          <w:bCs/>
          <w:sz w:val="32"/>
          <w:szCs w:val="32"/>
        </w:rPr>
        <w:t>协调发展</w:t>
      </w:r>
      <w:r>
        <w:rPr>
          <w:rFonts w:hint="eastAsia" w:ascii="仿宋_GB2312" w:eastAsia="仿宋_GB2312"/>
          <w:sz w:val="32"/>
          <w:szCs w:val="32"/>
        </w:rPr>
        <w:t>。鼓励大中型矿山对周边矿产资源进行整合。鼓励矿山企业提升装备水平，提高资源利用水平。遏制矿山环境问题增量，消减矿山环境问题存量，提高矿产资源利用的资源、经济和生态效益。</w:t>
      </w:r>
    </w:p>
    <w:p>
      <w:pPr>
        <w:spacing w:line="560" w:lineRule="exact"/>
        <w:ind w:firstLine="640"/>
        <w:contextualSpacing/>
        <w:rPr>
          <w:rFonts w:ascii="仿宋_GB2312" w:eastAsia="仿宋_GB2312"/>
          <w:sz w:val="32"/>
          <w:szCs w:val="32"/>
        </w:rPr>
      </w:pPr>
      <w:r>
        <w:rPr>
          <w:rFonts w:hint="eastAsia" w:ascii="仿宋_GB2312" w:eastAsia="仿宋_GB2312"/>
          <w:sz w:val="32"/>
          <w:szCs w:val="32"/>
        </w:rPr>
        <w:t>改革创新，完善机制。加强矿业权审批、监管，完善矿业权信息公示和实地核查工作，全面推进矿业权竞争性出让，为矿业高质量发展营造良好市场环境。</w:t>
      </w:r>
    </w:p>
    <w:p>
      <w:pPr>
        <w:pStyle w:val="3"/>
      </w:pPr>
      <w:bookmarkStart w:id="11" w:name="_Toc106610317"/>
      <w:bookmarkStart w:id="12" w:name="_Toc505614497"/>
      <w:r>
        <w:rPr>
          <w:rFonts w:hint="eastAsia"/>
        </w:rPr>
        <w:t>第三节</w:t>
      </w:r>
      <w:r>
        <w:t xml:space="preserve"> </w:t>
      </w:r>
      <w:r>
        <w:rPr>
          <w:rFonts w:hint="eastAsia"/>
        </w:rPr>
        <w:t>规划目标</w:t>
      </w:r>
      <w:bookmarkEnd w:id="11"/>
      <w:bookmarkEnd w:id="12"/>
    </w:p>
    <w:p>
      <w:pPr>
        <w:spacing w:line="560" w:lineRule="exact"/>
        <w:ind w:firstLine="640"/>
        <w:contextualSpacing/>
        <w:rPr>
          <w:rFonts w:ascii="仿宋_GB2312" w:eastAsia="仿宋_GB2312"/>
          <w:sz w:val="32"/>
          <w:szCs w:val="32"/>
        </w:rPr>
      </w:pPr>
      <w:r>
        <w:rPr>
          <w:rFonts w:hint="eastAsia" w:ascii="仿宋_GB2312" w:eastAsia="仿宋_GB2312"/>
          <w:sz w:val="32"/>
          <w:szCs w:val="32"/>
        </w:rPr>
        <w:t>到</w:t>
      </w:r>
      <w:r>
        <w:rPr>
          <w:rFonts w:ascii="仿宋_GB2312" w:eastAsia="仿宋_GB2312"/>
          <w:sz w:val="32"/>
          <w:szCs w:val="32"/>
        </w:rPr>
        <w:t>2025年，铁、铜、锡、金等战略性矿产的保障体系更趋完善，勘查开发空间布局合理，绿色勘查开发全面实施，全市呈现矿产资源勘查开发与生态环境协调发展新局面。</w:t>
      </w:r>
    </w:p>
    <w:p>
      <w:pPr>
        <w:spacing w:line="560" w:lineRule="exact"/>
        <w:ind w:firstLine="640"/>
        <w:contextualSpacing/>
        <w:rPr>
          <w:rFonts w:ascii="仿宋_GB2312" w:eastAsia="仿宋_GB2312"/>
          <w:sz w:val="32"/>
          <w:szCs w:val="32"/>
        </w:rPr>
      </w:pPr>
      <w:r>
        <w:rPr>
          <w:rFonts w:hint="eastAsia" w:ascii="仿宋_GB2312" w:eastAsia="仿宋_GB2312"/>
          <w:bCs/>
          <w:sz w:val="32"/>
          <w:szCs w:val="32"/>
        </w:rPr>
        <w:t>保障资源供给。在</w:t>
      </w:r>
      <w:r>
        <w:rPr>
          <w:rFonts w:hint="eastAsia" w:ascii="仿宋_GB2312" w:eastAsia="仿宋_GB2312"/>
          <w:sz w:val="32"/>
          <w:szCs w:val="32"/>
        </w:rPr>
        <w:t>北部大兴安岭中南段、南部华北陆块北缘等重点成矿区带，加大战略性矿产的勘查力度。在老矿山深部和外围实现找矿突破，保障资源储量稳定增长。预计新增金属资源量：铅锌</w:t>
      </w:r>
      <w:r>
        <w:rPr>
          <w:rFonts w:ascii="仿宋_GB2312" w:eastAsia="仿宋_GB2312"/>
          <w:sz w:val="32"/>
          <w:szCs w:val="32"/>
        </w:rPr>
        <w:t>200万吨，铜20万吨，金10吨，银2000吨，保障资源长期可持续供应、支撑能源资源基地建设。地热资源勘查程度大幅提高，为开发利用提供资源保障。</w:t>
      </w:r>
    </w:p>
    <w:p>
      <w:pPr>
        <w:spacing w:line="560" w:lineRule="exact"/>
        <w:ind w:firstLine="640"/>
        <w:contextualSpacing/>
        <w:rPr>
          <w:rFonts w:ascii="仿宋_GB2312" w:eastAsia="仿宋_GB2312"/>
          <w:sz w:val="32"/>
          <w:szCs w:val="32"/>
        </w:rPr>
      </w:pPr>
      <w:r>
        <w:rPr>
          <w:rFonts w:hint="eastAsia" w:ascii="仿宋_GB2312" w:eastAsia="仿宋_GB2312"/>
          <w:sz w:val="32"/>
          <w:szCs w:val="32"/>
        </w:rPr>
        <w:t>布局结构更加合理。推进</w:t>
      </w:r>
      <w:r>
        <w:rPr>
          <w:rFonts w:ascii="仿宋_GB2312" w:eastAsia="仿宋_GB2312"/>
          <w:sz w:val="32"/>
          <w:szCs w:val="32"/>
        </w:rPr>
        <w:t>4处能源资源基地和10处国家规划矿区的建设。以调整矿山规模结构为重点，做好优化重组，支持矿山企业做大做强。推进现有大中型矿山企业对周边矿业权的兼并重组，做到集中勘查、开发。至2025年，</w:t>
      </w:r>
      <w:r>
        <w:rPr>
          <w:rFonts w:hint="eastAsia" w:ascii="仿宋_GB2312" w:eastAsia="仿宋_GB2312"/>
          <w:sz w:val="32"/>
          <w:szCs w:val="32"/>
        </w:rPr>
        <w:t>矿山总数控制在</w:t>
      </w:r>
      <w:r>
        <w:rPr>
          <w:rFonts w:ascii="仿宋_GB2312" w:eastAsia="仿宋_GB2312"/>
          <w:sz w:val="32"/>
          <w:szCs w:val="32"/>
        </w:rPr>
        <w:t>680个以内，大中型矿山占比达到25%。严格约束新建矿山最低开采规模。</w:t>
      </w:r>
    </w:p>
    <w:p>
      <w:pPr>
        <w:spacing w:line="560" w:lineRule="exact"/>
        <w:ind w:firstLine="640"/>
        <w:contextualSpacing/>
        <w:rPr>
          <w:rFonts w:ascii="仿宋_GB2312" w:eastAsia="仿宋_GB2312"/>
          <w:sz w:val="32"/>
          <w:szCs w:val="32"/>
        </w:rPr>
      </w:pPr>
      <w:r>
        <w:rPr>
          <w:rFonts w:hint="eastAsia" w:ascii="仿宋_GB2312" w:eastAsia="仿宋_GB2312"/>
          <w:sz w:val="32"/>
          <w:szCs w:val="32"/>
        </w:rPr>
        <w:t>资源利用更加高效。以调整产业结构和产品结构为主攻方向，鼓励矿山技术装备升级及科技投入，普遍提高锡、锂等伴生矿产及贫矿、尾矿和难选冶矿石的综合利用。支持在资源集中区优先建设集矿产勘查、开发、综合利用、环境保护等一体化的矿产资源产业基地。至</w:t>
      </w:r>
      <w:r>
        <w:rPr>
          <w:rFonts w:ascii="仿宋_GB2312" w:eastAsia="仿宋_GB2312"/>
          <w:sz w:val="32"/>
          <w:szCs w:val="32"/>
        </w:rPr>
        <w:t>2025年，铅、锌、银、锡等主要资源“三率”水平进一步提高。</w:t>
      </w:r>
    </w:p>
    <w:p>
      <w:pPr>
        <w:spacing w:line="560" w:lineRule="exact"/>
        <w:ind w:firstLine="640"/>
        <w:contextualSpacing/>
        <w:rPr>
          <w:rFonts w:ascii="仿宋_GB2312" w:eastAsia="仿宋_GB2312"/>
          <w:sz w:val="32"/>
          <w:szCs w:val="32"/>
        </w:rPr>
      </w:pPr>
      <w:r>
        <w:rPr>
          <w:rFonts w:hint="eastAsia" w:ascii="仿宋_GB2312" w:eastAsia="仿宋_GB2312"/>
          <w:sz w:val="32"/>
          <w:szCs w:val="32"/>
        </w:rPr>
        <w:t>积极推进绿色矿业发展。推行绿色勘查。持续开展赤北绿色矿业发展示范区建设，以绿色矿山建设典型案例为示范引领，推进全市绿色矿山建设。新建矿山要全部达到绿色矿山建设标准；生产矿山要按照绿色矿山建设标准加快改造升级，尽早达到标准，营造全社会共同推进绿色矿山建设新环境。</w:t>
      </w:r>
    </w:p>
    <w:p>
      <w:pPr>
        <w:spacing w:line="560" w:lineRule="exact"/>
        <w:ind w:firstLine="640"/>
        <w:contextualSpacing/>
        <w:rPr>
          <w:rFonts w:ascii="仿宋_GB2312" w:eastAsia="仿宋_GB2312"/>
          <w:sz w:val="32"/>
          <w:szCs w:val="32"/>
        </w:rPr>
      </w:pPr>
      <w:r>
        <w:rPr>
          <w:rFonts w:hint="eastAsia" w:ascii="仿宋_GB2312" w:eastAsia="仿宋_GB2312"/>
          <w:sz w:val="32"/>
          <w:szCs w:val="32"/>
        </w:rPr>
        <w:t>加强矿山地质环境保护与治理恢复。严格落实矿山地质环境保护与治理恢复的责任机制，落实矿山地质环境治理恢复基金制度，督促矿山做到“边生产、边治理、应治尽治”，加强闭坑矿山全面开展地质环境保护与土地复垦。</w:t>
      </w:r>
    </w:p>
    <w:p>
      <w:pPr>
        <w:spacing w:line="560" w:lineRule="exact"/>
        <w:ind w:firstLine="640"/>
        <w:contextualSpacing/>
        <w:rPr>
          <w:rFonts w:ascii="仿宋_GB2312" w:eastAsia="仿宋_GB2312"/>
          <w:sz w:val="32"/>
          <w:szCs w:val="32"/>
        </w:rPr>
      </w:pPr>
      <w:r>
        <w:rPr>
          <w:rFonts w:hint="eastAsia" w:ascii="仿宋_GB2312" w:eastAsia="仿宋_GB2312"/>
          <w:sz w:val="32"/>
          <w:szCs w:val="32"/>
        </w:rPr>
        <w:t>优化矿产资源管理。深入推进矿产资源管理改革，提高信息化管理水平和行政审批效率。矿产资源储量管理工作更加精细，资源家底更加清晰。健全矿业权交易等市场体系，积极探索“净矿”出让，出让收益征收、分配机制更加合理。矿业权市场和公益服务体系现代化建设初步完成，资源配置更加高效，各级矿政管理部门管理水平明显提高。</w:t>
      </w:r>
    </w:p>
    <w:p>
      <w:pPr>
        <w:pStyle w:val="13"/>
        <w:spacing w:line="560" w:lineRule="exact"/>
        <w:ind w:firstLine="0" w:firstLineChars="0"/>
        <w:contextualSpacing/>
        <w:jc w:val="center"/>
        <w:rPr>
          <w:rFonts w:ascii="黑体" w:hAnsi="黑体" w:eastAsia="黑体"/>
          <w:color w:val="auto"/>
          <w:sz w:val="24"/>
          <w:szCs w:val="24"/>
        </w:rPr>
      </w:pPr>
      <w:r>
        <w:rPr>
          <w:rFonts w:hint="eastAsia" w:ascii="黑体" w:hAnsi="黑体" w:eastAsia="黑体"/>
          <w:color w:val="auto"/>
          <w:sz w:val="24"/>
          <w:szCs w:val="24"/>
        </w:rPr>
        <w:t>专栏</w:t>
      </w:r>
      <w:r>
        <w:rPr>
          <w:rFonts w:ascii="黑体" w:hAnsi="黑体" w:eastAsia="黑体"/>
          <w:color w:val="auto"/>
          <w:sz w:val="24"/>
          <w:szCs w:val="24"/>
        </w:rPr>
        <w:t xml:space="preserve">1 </w:t>
      </w:r>
      <w:r>
        <w:rPr>
          <w:rFonts w:hint="eastAsia" w:ascii="黑体" w:hAnsi="黑体" w:eastAsia="黑体"/>
          <w:color w:val="auto"/>
          <w:sz w:val="24"/>
          <w:szCs w:val="24"/>
        </w:rPr>
        <w:t>规划目标指标表</w:t>
      </w:r>
    </w:p>
    <w:tbl>
      <w:tblPr>
        <w:tblStyle w:val="10"/>
        <w:tblW w:w="5137" w:type="pct"/>
        <w:tblInd w:w="0" w:type="dxa"/>
        <w:tblLayout w:type="autofit"/>
        <w:tblCellMar>
          <w:top w:w="0" w:type="dxa"/>
          <w:left w:w="108" w:type="dxa"/>
          <w:bottom w:w="0" w:type="dxa"/>
          <w:right w:w="108" w:type="dxa"/>
        </w:tblCellMar>
      </w:tblPr>
      <w:tblGrid>
        <w:gridCol w:w="1781"/>
        <w:gridCol w:w="2399"/>
        <w:gridCol w:w="1935"/>
        <w:gridCol w:w="1249"/>
        <w:gridCol w:w="1392"/>
      </w:tblGrid>
      <w:tr>
        <w:tblPrEx>
          <w:tblCellMar>
            <w:top w:w="0" w:type="dxa"/>
            <w:left w:w="108" w:type="dxa"/>
            <w:bottom w:w="0" w:type="dxa"/>
            <w:right w:w="108" w:type="dxa"/>
          </w:tblCellMar>
        </w:tblPrEx>
        <w:trPr>
          <w:trHeight w:val="567" w:hRule="exact"/>
          <w:tblHeader/>
        </w:trPr>
        <w:tc>
          <w:tcPr>
            <w:tcW w:w="2386" w:type="pct"/>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4"/>
              <w:spacing w:line="560" w:lineRule="exact"/>
              <w:contextualSpacing/>
              <w:rPr>
                <w:rFonts w:ascii="黑体" w:hAnsi="黑体" w:eastAsia="黑体"/>
                <w:sz w:val="24"/>
                <w:szCs w:val="24"/>
              </w:rPr>
            </w:pPr>
            <w:r>
              <w:rPr>
                <w:rFonts w:hint="eastAsia" w:ascii="黑体" w:hAnsi="黑体" w:eastAsia="黑体"/>
                <w:sz w:val="24"/>
                <w:szCs w:val="24"/>
              </w:rPr>
              <w:t>目标指标名称</w:t>
            </w:r>
          </w:p>
        </w:tc>
        <w:tc>
          <w:tcPr>
            <w:tcW w:w="1105" w:type="pct"/>
            <w:tcBorders>
              <w:top w:val="single" w:color="auto" w:sz="4" w:space="0"/>
              <w:left w:val="nil"/>
              <w:bottom w:val="single" w:color="auto" w:sz="4" w:space="0"/>
              <w:right w:val="single" w:color="auto" w:sz="4" w:space="0"/>
            </w:tcBorders>
            <w:shd w:val="clear" w:color="auto" w:fill="auto"/>
            <w:noWrap w:val="0"/>
            <w:vAlign w:val="center"/>
          </w:tcPr>
          <w:p>
            <w:pPr>
              <w:pStyle w:val="14"/>
              <w:spacing w:line="560" w:lineRule="exact"/>
              <w:contextualSpacing/>
              <w:rPr>
                <w:rFonts w:ascii="黑体" w:hAnsi="黑体" w:eastAsia="黑体"/>
                <w:sz w:val="24"/>
                <w:szCs w:val="24"/>
              </w:rPr>
            </w:pPr>
            <w:r>
              <w:rPr>
                <w:rFonts w:hint="eastAsia" w:ascii="黑体" w:hAnsi="黑体" w:eastAsia="黑体"/>
                <w:sz w:val="24"/>
                <w:szCs w:val="24"/>
              </w:rPr>
              <w:t>单位</w:t>
            </w:r>
          </w:p>
        </w:tc>
        <w:tc>
          <w:tcPr>
            <w:tcW w:w="713" w:type="pct"/>
            <w:tcBorders>
              <w:top w:val="single" w:color="auto" w:sz="4" w:space="0"/>
              <w:left w:val="nil"/>
              <w:bottom w:val="single" w:color="auto" w:sz="4" w:space="0"/>
              <w:right w:val="single" w:color="auto" w:sz="4" w:space="0"/>
            </w:tcBorders>
            <w:shd w:val="clear" w:color="auto" w:fill="auto"/>
            <w:noWrap w:val="0"/>
            <w:vAlign w:val="center"/>
          </w:tcPr>
          <w:p>
            <w:pPr>
              <w:pStyle w:val="14"/>
              <w:spacing w:line="560" w:lineRule="exact"/>
              <w:contextualSpacing/>
              <w:rPr>
                <w:rFonts w:ascii="黑体" w:hAnsi="黑体" w:eastAsia="黑体"/>
                <w:sz w:val="24"/>
                <w:szCs w:val="24"/>
              </w:rPr>
            </w:pPr>
            <w:r>
              <w:rPr>
                <w:rFonts w:ascii="黑体" w:hAnsi="黑体" w:eastAsia="黑体"/>
                <w:sz w:val="24"/>
                <w:szCs w:val="24"/>
              </w:rPr>
              <w:t>2025年</w:t>
            </w:r>
          </w:p>
        </w:tc>
        <w:tc>
          <w:tcPr>
            <w:tcW w:w="797" w:type="pct"/>
            <w:tcBorders>
              <w:top w:val="single" w:color="auto" w:sz="4" w:space="0"/>
              <w:left w:val="nil"/>
              <w:bottom w:val="single" w:color="auto" w:sz="4" w:space="0"/>
              <w:right w:val="single" w:color="auto" w:sz="4" w:space="0"/>
            </w:tcBorders>
            <w:shd w:val="clear" w:color="auto" w:fill="auto"/>
            <w:noWrap w:val="0"/>
            <w:vAlign w:val="center"/>
          </w:tcPr>
          <w:p>
            <w:pPr>
              <w:pStyle w:val="14"/>
              <w:spacing w:line="560" w:lineRule="exact"/>
              <w:contextualSpacing/>
              <w:rPr>
                <w:rFonts w:ascii="黑体" w:hAnsi="黑体" w:eastAsia="黑体"/>
                <w:sz w:val="24"/>
                <w:szCs w:val="24"/>
              </w:rPr>
            </w:pPr>
            <w:r>
              <w:rPr>
                <w:rFonts w:hint="eastAsia" w:ascii="黑体" w:hAnsi="黑体" w:eastAsia="黑体"/>
                <w:sz w:val="24"/>
                <w:szCs w:val="24"/>
              </w:rPr>
              <w:t>属性</w:t>
            </w:r>
          </w:p>
        </w:tc>
      </w:tr>
      <w:tr>
        <w:trPr>
          <w:trHeight w:val="567" w:hRule="exact"/>
        </w:trPr>
        <w:tc>
          <w:tcPr>
            <w:tcW w:w="1017" w:type="pct"/>
            <w:vMerge w:val="restart"/>
            <w:tcBorders>
              <w:top w:val="nil"/>
              <w:left w:val="single" w:color="auto" w:sz="4" w:space="0"/>
              <w:bottom w:val="single" w:color="auto" w:sz="4" w:space="0"/>
              <w:right w:val="single" w:color="auto" w:sz="4" w:space="0"/>
            </w:tcBorders>
            <w:shd w:val="clear" w:color="auto" w:fill="auto"/>
            <w:noWrap w:val="0"/>
            <w:vAlign w:val="center"/>
          </w:tcPr>
          <w:p>
            <w:pPr>
              <w:pStyle w:val="14"/>
              <w:spacing w:line="560" w:lineRule="exact"/>
              <w:contextualSpacing/>
              <w:rPr>
                <w:rFonts w:ascii="仿宋_GB2312" w:eastAsia="仿宋_GB2312"/>
                <w:sz w:val="24"/>
                <w:szCs w:val="24"/>
              </w:rPr>
            </w:pPr>
            <w:r>
              <w:rPr>
                <w:rFonts w:hint="eastAsia" w:ascii="仿宋_GB2312" w:eastAsia="仿宋_GB2312"/>
                <w:sz w:val="24"/>
                <w:szCs w:val="24"/>
              </w:rPr>
              <w:t>新增资源量</w:t>
            </w:r>
          </w:p>
        </w:tc>
        <w:tc>
          <w:tcPr>
            <w:tcW w:w="1370" w:type="pct"/>
            <w:tcBorders>
              <w:top w:val="nil"/>
              <w:left w:val="nil"/>
              <w:bottom w:val="single" w:color="auto" w:sz="4" w:space="0"/>
              <w:right w:val="single" w:color="auto" w:sz="4" w:space="0"/>
            </w:tcBorders>
            <w:shd w:val="clear" w:color="auto" w:fill="auto"/>
            <w:noWrap w:val="0"/>
            <w:vAlign w:val="center"/>
          </w:tcPr>
          <w:p>
            <w:pPr>
              <w:pStyle w:val="14"/>
              <w:spacing w:line="560" w:lineRule="exact"/>
              <w:contextualSpacing/>
              <w:rPr>
                <w:rFonts w:ascii="仿宋_GB2312" w:eastAsia="仿宋_GB2312"/>
                <w:sz w:val="24"/>
                <w:szCs w:val="24"/>
              </w:rPr>
            </w:pPr>
            <w:r>
              <w:rPr>
                <w:rFonts w:hint="eastAsia" w:ascii="仿宋_GB2312" w:eastAsia="仿宋_GB2312"/>
                <w:sz w:val="24"/>
                <w:szCs w:val="24"/>
              </w:rPr>
              <w:t>铜</w:t>
            </w:r>
            <w:r>
              <w:rPr>
                <w:rFonts w:ascii="仿宋_GB2312" w:eastAsia="仿宋_GB2312"/>
                <w:sz w:val="24"/>
                <w:szCs w:val="24"/>
              </w:rPr>
              <w:t xml:space="preserve"> </w:t>
            </w:r>
            <w:r>
              <w:rPr>
                <w:rFonts w:hint="eastAsia" w:ascii="仿宋_GB2312" w:eastAsia="仿宋_GB2312"/>
                <w:sz w:val="24"/>
                <w:szCs w:val="24"/>
              </w:rPr>
              <w:t>金属量</w:t>
            </w:r>
          </w:p>
        </w:tc>
        <w:tc>
          <w:tcPr>
            <w:tcW w:w="1105" w:type="pct"/>
            <w:tcBorders>
              <w:top w:val="nil"/>
              <w:left w:val="nil"/>
              <w:bottom w:val="single" w:color="auto" w:sz="4" w:space="0"/>
              <w:right w:val="single" w:color="auto" w:sz="4" w:space="0"/>
            </w:tcBorders>
            <w:shd w:val="clear" w:color="auto" w:fill="auto"/>
            <w:noWrap w:val="0"/>
            <w:vAlign w:val="center"/>
          </w:tcPr>
          <w:p>
            <w:pPr>
              <w:pStyle w:val="14"/>
              <w:spacing w:line="560" w:lineRule="exact"/>
              <w:contextualSpacing/>
              <w:rPr>
                <w:rFonts w:ascii="仿宋_GB2312" w:eastAsia="仿宋_GB2312"/>
                <w:sz w:val="24"/>
                <w:szCs w:val="24"/>
              </w:rPr>
            </w:pPr>
            <w:r>
              <w:rPr>
                <w:rFonts w:hint="eastAsia" w:ascii="仿宋_GB2312" w:eastAsia="仿宋_GB2312"/>
                <w:sz w:val="24"/>
                <w:szCs w:val="24"/>
              </w:rPr>
              <w:t>万吨</w:t>
            </w:r>
          </w:p>
        </w:tc>
        <w:tc>
          <w:tcPr>
            <w:tcW w:w="713" w:type="pct"/>
            <w:tcBorders>
              <w:top w:val="nil"/>
              <w:left w:val="nil"/>
              <w:bottom w:val="single" w:color="auto" w:sz="4" w:space="0"/>
              <w:right w:val="single" w:color="auto" w:sz="4" w:space="0"/>
            </w:tcBorders>
            <w:shd w:val="clear" w:color="auto" w:fill="auto"/>
            <w:noWrap w:val="0"/>
            <w:vAlign w:val="center"/>
          </w:tcPr>
          <w:p>
            <w:pPr>
              <w:pStyle w:val="14"/>
              <w:spacing w:line="560" w:lineRule="exact"/>
              <w:contextualSpacing/>
              <w:rPr>
                <w:rFonts w:ascii="仿宋_GB2312" w:eastAsia="仿宋_GB2312"/>
                <w:sz w:val="24"/>
                <w:szCs w:val="24"/>
              </w:rPr>
            </w:pPr>
            <w:r>
              <w:rPr>
                <w:rFonts w:ascii="仿宋_GB2312" w:eastAsia="仿宋_GB2312"/>
                <w:sz w:val="24"/>
                <w:szCs w:val="24"/>
              </w:rPr>
              <w:t>20</w:t>
            </w:r>
          </w:p>
        </w:tc>
        <w:tc>
          <w:tcPr>
            <w:tcW w:w="797" w:type="pct"/>
            <w:tcBorders>
              <w:top w:val="nil"/>
              <w:left w:val="nil"/>
              <w:bottom w:val="single" w:color="auto" w:sz="4" w:space="0"/>
              <w:right w:val="single" w:color="auto" w:sz="4" w:space="0"/>
            </w:tcBorders>
            <w:shd w:val="clear" w:color="auto" w:fill="auto"/>
            <w:noWrap w:val="0"/>
            <w:vAlign w:val="center"/>
          </w:tcPr>
          <w:p>
            <w:pPr>
              <w:pStyle w:val="14"/>
              <w:spacing w:line="560" w:lineRule="exact"/>
              <w:contextualSpacing/>
              <w:rPr>
                <w:rFonts w:ascii="仿宋_GB2312" w:eastAsia="仿宋_GB2312"/>
                <w:sz w:val="24"/>
                <w:szCs w:val="24"/>
              </w:rPr>
            </w:pPr>
            <w:r>
              <w:rPr>
                <w:rFonts w:hint="eastAsia" w:ascii="仿宋_GB2312" w:eastAsia="仿宋_GB2312"/>
                <w:sz w:val="24"/>
                <w:szCs w:val="24"/>
              </w:rPr>
              <w:t>预期性</w:t>
            </w:r>
          </w:p>
        </w:tc>
      </w:tr>
      <w:tr>
        <w:tblPrEx>
          <w:tblCellMar>
            <w:top w:w="0" w:type="dxa"/>
            <w:left w:w="108" w:type="dxa"/>
            <w:bottom w:w="0" w:type="dxa"/>
            <w:right w:w="108" w:type="dxa"/>
          </w:tblCellMar>
        </w:tblPrEx>
        <w:trPr>
          <w:trHeight w:val="567" w:hRule="exact"/>
        </w:trPr>
        <w:tc>
          <w:tcPr>
            <w:tcW w:w="1017" w:type="pct"/>
            <w:vMerge w:val="continue"/>
            <w:tcBorders>
              <w:top w:val="nil"/>
              <w:left w:val="single" w:color="auto" w:sz="4" w:space="0"/>
              <w:bottom w:val="single" w:color="auto" w:sz="4" w:space="0"/>
              <w:right w:val="single" w:color="auto" w:sz="4" w:space="0"/>
            </w:tcBorders>
            <w:shd w:val="clear" w:color="auto" w:fill="auto"/>
            <w:noWrap w:val="0"/>
            <w:vAlign w:val="center"/>
          </w:tcPr>
          <w:p>
            <w:pPr>
              <w:pStyle w:val="14"/>
              <w:spacing w:line="560" w:lineRule="exact"/>
              <w:contextualSpacing/>
              <w:rPr>
                <w:rFonts w:ascii="仿宋_GB2312" w:eastAsia="仿宋_GB2312"/>
                <w:sz w:val="24"/>
                <w:szCs w:val="24"/>
              </w:rPr>
            </w:pPr>
          </w:p>
        </w:tc>
        <w:tc>
          <w:tcPr>
            <w:tcW w:w="1370" w:type="pct"/>
            <w:tcBorders>
              <w:top w:val="nil"/>
              <w:left w:val="nil"/>
              <w:bottom w:val="single" w:color="auto" w:sz="4" w:space="0"/>
              <w:right w:val="single" w:color="auto" w:sz="4" w:space="0"/>
            </w:tcBorders>
            <w:shd w:val="clear" w:color="auto" w:fill="auto"/>
            <w:noWrap w:val="0"/>
            <w:vAlign w:val="center"/>
          </w:tcPr>
          <w:p>
            <w:pPr>
              <w:pStyle w:val="14"/>
              <w:spacing w:line="560" w:lineRule="exact"/>
              <w:contextualSpacing/>
              <w:rPr>
                <w:rFonts w:ascii="仿宋_GB2312" w:eastAsia="仿宋_GB2312"/>
                <w:sz w:val="24"/>
                <w:szCs w:val="24"/>
              </w:rPr>
            </w:pPr>
            <w:r>
              <w:rPr>
                <w:rFonts w:hint="eastAsia" w:ascii="仿宋_GB2312" w:eastAsia="仿宋_GB2312"/>
                <w:sz w:val="24"/>
                <w:szCs w:val="24"/>
              </w:rPr>
              <w:t>铅锌</w:t>
            </w:r>
            <w:r>
              <w:rPr>
                <w:rFonts w:ascii="仿宋_GB2312" w:eastAsia="仿宋_GB2312"/>
                <w:sz w:val="24"/>
                <w:szCs w:val="24"/>
              </w:rPr>
              <w:t xml:space="preserve"> </w:t>
            </w:r>
            <w:r>
              <w:rPr>
                <w:rFonts w:hint="eastAsia" w:ascii="仿宋_GB2312" w:eastAsia="仿宋_GB2312"/>
                <w:sz w:val="24"/>
                <w:szCs w:val="24"/>
              </w:rPr>
              <w:t>金属量</w:t>
            </w:r>
          </w:p>
        </w:tc>
        <w:tc>
          <w:tcPr>
            <w:tcW w:w="1105" w:type="pct"/>
            <w:tcBorders>
              <w:top w:val="nil"/>
              <w:left w:val="nil"/>
              <w:bottom w:val="single" w:color="auto" w:sz="4" w:space="0"/>
              <w:right w:val="single" w:color="auto" w:sz="4" w:space="0"/>
            </w:tcBorders>
            <w:shd w:val="clear" w:color="auto" w:fill="auto"/>
            <w:noWrap w:val="0"/>
            <w:vAlign w:val="center"/>
          </w:tcPr>
          <w:p>
            <w:pPr>
              <w:pStyle w:val="14"/>
              <w:spacing w:line="560" w:lineRule="exact"/>
              <w:contextualSpacing/>
              <w:rPr>
                <w:rFonts w:ascii="仿宋_GB2312" w:eastAsia="仿宋_GB2312"/>
                <w:sz w:val="24"/>
                <w:szCs w:val="24"/>
              </w:rPr>
            </w:pPr>
            <w:r>
              <w:rPr>
                <w:rFonts w:hint="eastAsia" w:ascii="仿宋_GB2312" w:eastAsia="仿宋_GB2312"/>
                <w:sz w:val="24"/>
                <w:szCs w:val="24"/>
              </w:rPr>
              <w:t>万吨</w:t>
            </w:r>
          </w:p>
        </w:tc>
        <w:tc>
          <w:tcPr>
            <w:tcW w:w="713" w:type="pct"/>
            <w:tcBorders>
              <w:top w:val="nil"/>
              <w:left w:val="nil"/>
              <w:bottom w:val="single" w:color="auto" w:sz="4" w:space="0"/>
              <w:right w:val="single" w:color="auto" w:sz="4" w:space="0"/>
            </w:tcBorders>
            <w:shd w:val="clear" w:color="auto" w:fill="auto"/>
            <w:noWrap w:val="0"/>
            <w:vAlign w:val="center"/>
          </w:tcPr>
          <w:p>
            <w:pPr>
              <w:pStyle w:val="14"/>
              <w:spacing w:line="560" w:lineRule="exact"/>
              <w:contextualSpacing/>
              <w:rPr>
                <w:rFonts w:ascii="仿宋_GB2312" w:eastAsia="仿宋_GB2312"/>
                <w:sz w:val="24"/>
                <w:szCs w:val="24"/>
              </w:rPr>
            </w:pPr>
            <w:r>
              <w:rPr>
                <w:rFonts w:ascii="仿宋_GB2312" w:eastAsia="仿宋_GB2312"/>
                <w:sz w:val="24"/>
                <w:szCs w:val="24"/>
              </w:rPr>
              <w:t>200</w:t>
            </w:r>
          </w:p>
        </w:tc>
        <w:tc>
          <w:tcPr>
            <w:tcW w:w="797" w:type="pct"/>
            <w:tcBorders>
              <w:top w:val="nil"/>
              <w:left w:val="nil"/>
              <w:bottom w:val="single" w:color="auto" w:sz="4" w:space="0"/>
              <w:right w:val="single" w:color="auto" w:sz="4" w:space="0"/>
            </w:tcBorders>
            <w:shd w:val="clear" w:color="auto" w:fill="auto"/>
            <w:noWrap w:val="0"/>
            <w:vAlign w:val="center"/>
          </w:tcPr>
          <w:p>
            <w:pPr>
              <w:pStyle w:val="14"/>
              <w:spacing w:line="560" w:lineRule="exact"/>
              <w:contextualSpacing/>
              <w:rPr>
                <w:rFonts w:ascii="仿宋_GB2312" w:eastAsia="仿宋_GB2312"/>
                <w:sz w:val="24"/>
                <w:szCs w:val="24"/>
              </w:rPr>
            </w:pPr>
            <w:r>
              <w:rPr>
                <w:rFonts w:hint="eastAsia" w:ascii="仿宋_GB2312" w:eastAsia="仿宋_GB2312"/>
                <w:sz w:val="24"/>
                <w:szCs w:val="24"/>
              </w:rPr>
              <w:t>预期性</w:t>
            </w:r>
          </w:p>
        </w:tc>
      </w:tr>
      <w:tr>
        <w:tblPrEx>
          <w:tblCellMar>
            <w:top w:w="0" w:type="dxa"/>
            <w:left w:w="108" w:type="dxa"/>
            <w:bottom w:w="0" w:type="dxa"/>
            <w:right w:w="108" w:type="dxa"/>
          </w:tblCellMar>
        </w:tblPrEx>
        <w:trPr>
          <w:trHeight w:val="567" w:hRule="exact"/>
        </w:trPr>
        <w:tc>
          <w:tcPr>
            <w:tcW w:w="1017" w:type="pct"/>
            <w:vMerge w:val="continue"/>
            <w:tcBorders>
              <w:top w:val="nil"/>
              <w:left w:val="single" w:color="auto" w:sz="4" w:space="0"/>
              <w:bottom w:val="single" w:color="auto" w:sz="4" w:space="0"/>
              <w:right w:val="single" w:color="auto" w:sz="4" w:space="0"/>
            </w:tcBorders>
            <w:shd w:val="clear" w:color="auto" w:fill="auto"/>
            <w:noWrap w:val="0"/>
            <w:vAlign w:val="center"/>
          </w:tcPr>
          <w:p>
            <w:pPr>
              <w:pStyle w:val="14"/>
              <w:spacing w:line="560" w:lineRule="exact"/>
              <w:contextualSpacing/>
              <w:rPr>
                <w:rFonts w:ascii="仿宋_GB2312" w:eastAsia="仿宋_GB2312"/>
                <w:sz w:val="24"/>
                <w:szCs w:val="24"/>
              </w:rPr>
            </w:pPr>
          </w:p>
        </w:tc>
        <w:tc>
          <w:tcPr>
            <w:tcW w:w="1370" w:type="pct"/>
            <w:tcBorders>
              <w:top w:val="nil"/>
              <w:left w:val="nil"/>
              <w:bottom w:val="single" w:color="auto" w:sz="4" w:space="0"/>
              <w:right w:val="single" w:color="auto" w:sz="4" w:space="0"/>
            </w:tcBorders>
            <w:shd w:val="clear" w:color="auto" w:fill="auto"/>
            <w:noWrap w:val="0"/>
            <w:vAlign w:val="center"/>
          </w:tcPr>
          <w:p>
            <w:pPr>
              <w:pStyle w:val="14"/>
              <w:spacing w:line="560" w:lineRule="exact"/>
              <w:contextualSpacing/>
              <w:rPr>
                <w:rFonts w:ascii="仿宋_GB2312" w:eastAsia="仿宋_GB2312"/>
                <w:sz w:val="24"/>
                <w:szCs w:val="24"/>
              </w:rPr>
            </w:pPr>
            <w:r>
              <w:rPr>
                <w:rFonts w:hint="eastAsia" w:ascii="仿宋_GB2312" w:eastAsia="仿宋_GB2312"/>
                <w:sz w:val="24"/>
                <w:szCs w:val="24"/>
              </w:rPr>
              <w:t>金</w:t>
            </w:r>
            <w:r>
              <w:rPr>
                <w:rFonts w:ascii="仿宋_GB2312" w:eastAsia="仿宋_GB2312"/>
                <w:sz w:val="24"/>
                <w:szCs w:val="24"/>
              </w:rPr>
              <w:t xml:space="preserve"> </w:t>
            </w:r>
            <w:r>
              <w:rPr>
                <w:rFonts w:hint="eastAsia" w:ascii="仿宋_GB2312" w:eastAsia="仿宋_GB2312"/>
                <w:sz w:val="24"/>
                <w:szCs w:val="24"/>
              </w:rPr>
              <w:t>金属量</w:t>
            </w:r>
          </w:p>
        </w:tc>
        <w:tc>
          <w:tcPr>
            <w:tcW w:w="1105" w:type="pct"/>
            <w:tcBorders>
              <w:top w:val="nil"/>
              <w:left w:val="nil"/>
              <w:bottom w:val="single" w:color="auto" w:sz="4" w:space="0"/>
              <w:right w:val="single" w:color="auto" w:sz="4" w:space="0"/>
            </w:tcBorders>
            <w:shd w:val="clear" w:color="auto" w:fill="auto"/>
            <w:noWrap w:val="0"/>
            <w:vAlign w:val="center"/>
          </w:tcPr>
          <w:p>
            <w:pPr>
              <w:pStyle w:val="14"/>
              <w:spacing w:line="560" w:lineRule="exact"/>
              <w:contextualSpacing/>
              <w:rPr>
                <w:rFonts w:ascii="仿宋_GB2312" w:eastAsia="仿宋_GB2312"/>
                <w:sz w:val="24"/>
                <w:szCs w:val="24"/>
              </w:rPr>
            </w:pPr>
            <w:r>
              <w:rPr>
                <w:rFonts w:hint="eastAsia" w:ascii="仿宋_GB2312" w:eastAsia="仿宋_GB2312"/>
                <w:sz w:val="24"/>
                <w:szCs w:val="24"/>
              </w:rPr>
              <w:t>吨</w:t>
            </w:r>
          </w:p>
        </w:tc>
        <w:tc>
          <w:tcPr>
            <w:tcW w:w="713" w:type="pct"/>
            <w:tcBorders>
              <w:top w:val="nil"/>
              <w:left w:val="nil"/>
              <w:bottom w:val="single" w:color="auto" w:sz="4" w:space="0"/>
              <w:right w:val="single" w:color="auto" w:sz="4" w:space="0"/>
            </w:tcBorders>
            <w:shd w:val="clear" w:color="auto" w:fill="auto"/>
            <w:noWrap w:val="0"/>
            <w:vAlign w:val="center"/>
          </w:tcPr>
          <w:p>
            <w:pPr>
              <w:pStyle w:val="14"/>
              <w:spacing w:line="560" w:lineRule="exact"/>
              <w:contextualSpacing/>
              <w:rPr>
                <w:rFonts w:ascii="仿宋_GB2312" w:eastAsia="仿宋_GB2312"/>
                <w:sz w:val="24"/>
                <w:szCs w:val="24"/>
              </w:rPr>
            </w:pPr>
            <w:r>
              <w:rPr>
                <w:rFonts w:ascii="仿宋_GB2312" w:eastAsia="仿宋_GB2312"/>
                <w:sz w:val="24"/>
                <w:szCs w:val="24"/>
              </w:rPr>
              <w:t>10</w:t>
            </w:r>
          </w:p>
        </w:tc>
        <w:tc>
          <w:tcPr>
            <w:tcW w:w="797" w:type="pct"/>
            <w:tcBorders>
              <w:top w:val="nil"/>
              <w:left w:val="nil"/>
              <w:bottom w:val="single" w:color="auto" w:sz="4" w:space="0"/>
              <w:right w:val="single" w:color="auto" w:sz="4" w:space="0"/>
            </w:tcBorders>
            <w:shd w:val="clear" w:color="auto" w:fill="auto"/>
            <w:noWrap w:val="0"/>
            <w:vAlign w:val="center"/>
          </w:tcPr>
          <w:p>
            <w:pPr>
              <w:pStyle w:val="14"/>
              <w:spacing w:line="560" w:lineRule="exact"/>
              <w:contextualSpacing/>
              <w:rPr>
                <w:rFonts w:ascii="仿宋_GB2312" w:eastAsia="仿宋_GB2312"/>
                <w:sz w:val="24"/>
                <w:szCs w:val="24"/>
              </w:rPr>
            </w:pPr>
            <w:r>
              <w:rPr>
                <w:rFonts w:hint="eastAsia" w:ascii="仿宋_GB2312" w:eastAsia="仿宋_GB2312"/>
                <w:sz w:val="24"/>
                <w:szCs w:val="24"/>
              </w:rPr>
              <w:t>预期性</w:t>
            </w:r>
          </w:p>
        </w:tc>
      </w:tr>
      <w:tr>
        <w:tblPrEx>
          <w:tblCellMar>
            <w:top w:w="0" w:type="dxa"/>
            <w:left w:w="108" w:type="dxa"/>
            <w:bottom w:w="0" w:type="dxa"/>
            <w:right w:w="108" w:type="dxa"/>
          </w:tblCellMar>
        </w:tblPrEx>
        <w:trPr>
          <w:trHeight w:val="567" w:hRule="exact"/>
        </w:trPr>
        <w:tc>
          <w:tcPr>
            <w:tcW w:w="1017" w:type="pct"/>
            <w:vMerge w:val="continue"/>
            <w:tcBorders>
              <w:top w:val="nil"/>
              <w:left w:val="single" w:color="auto" w:sz="4" w:space="0"/>
              <w:bottom w:val="single" w:color="auto" w:sz="4" w:space="0"/>
              <w:right w:val="single" w:color="auto" w:sz="4" w:space="0"/>
            </w:tcBorders>
            <w:shd w:val="clear" w:color="auto" w:fill="auto"/>
            <w:noWrap w:val="0"/>
            <w:vAlign w:val="center"/>
          </w:tcPr>
          <w:p>
            <w:pPr>
              <w:pStyle w:val="14"/>
              <w:spacing w:line="560" w:lineRule="exact"/>
              <w:contextualSpacing/>
              <w:rPr>
                <w:rFonts w:ascii="仿宋_GB2312" w:eastAsia="仿宋_GB2312"/>
                <w:sz w:val="24"/>
                <w:szCs w:val="24"/>
              </w:rPr>
            </w:pPr>
          </w:p>
        </w:tc>
        <w:tc>
          <w:tcPr>
            <w:tcW w:w="1370" w:type="pct"/>
            <w:tcBorders>
              <w:top w:val="nil"/>
              <w:left w:val="nil"/>
              <w:bottom w:val="single" w:color="auto" w:sz="4" w:space="0"/>
              <w:right w:val="single" w:color="auto" w:sz="4" w:space="0"/>
            </w:tcBorders>
            <w:shd w:val="clear" w:color="auto" w:fill="auto"/>
            <w:noWrap w:val="0"/>
            <w:vAlign w:val="center"/>
          </w:tcPr>
          <w:p>
            <w:pPr>
              <w:pStyle w:val="14"/>
              <w:spacing w:line="560" w:lineRule="exact"/>
              <w:contextualSpacing/>
              <w:rPr>
                <w:rFonts w:ascii="仿宋_GB2312" w:eastAsia="仿宋_GB2312"/>
                <w:sz w:val="24"/>
                <w:szCs w:val="24"/>
              </w:rPr>
            </w:pPr>
            <w:r>
              <w:rPr>
                <w:rFonts w:hint="eastAsia" w:ascii="仿宋_GB2312" w:eastAsia="仿宋_GB2312"/>
                <w:sz w:val="24"/>
                <w:szCs w:val="24"/>
              </w:rPr>
              <w:t>银</w:t>
            </w:r>
            <w:r>
              <w:rPr>
                <w:rFonts w:ascii="仿宋_GB2312" w:eastAsia="仿宋_GB2312"/>
                <w:sz w:val="24"/>
                <w:szCs w:val="24"/>
              </w:rPr>
              <w:t xml:space="preserve"> </w:t>
            </w:r>
            <w:r>
              <w:rPr>
                <w:rFonts w:hint="eastAsia" w:ascii="仿宋_GB2312" w:eastAsia="仿宋_GB2312"/>
                <w:sz w:val="24"/>
                <w:szCs w:val="24"/>
              </w:rPr>
              <w:t>金属量</w:t>
            </w:r>
          </w:p>
        </w:tc>
        <w:tc>
          <w:tcPr>
            <w:tcW w:w="1105" w:type="pct"/>
            <w:tcBorders>
              <w:top w:val="single" w:color="auto" w:sz="4" w:space="0"/>
              <w:left w:val="nil"/>
              <w:bottom w:val="single" w:color="auto" w:sz="4" w:space="0"/>
              <w:right w:val="single" w:color="auto" w:sz="4" w:space="0"/>
            </w:tcBorders>
            <w:shd w:val="clear" w:color="auto" w:fill="auto"/>
            <w:noWrap w:val="0"/>
            <w:vAlign w:val="center"/>
          </w:tcPr>
          <w:p>
            <w:pPr>
              <w:pStyle w:val="14"/>
              <w:spacing w:line="560" w:lineRule="exact"/>
              <w:contextualSpacing/>
              <w:rPr>
                <w:rFonts w:ascii="仿宋_GB2312" w:eastAsia="仿宋_GB2312"/>
                <w:sz w:val="24"/>
                <w:szCs w:val="24"/>
              </w:rPr>
            </w:pPr>
            <w:r>
              <w:rPr>
                <w:rFonts w:hint="eastAsia" w:ascii="仿宋_GB2312" w:eastAsia="仿宋_GB2312"/>
                <w:sz w:val="24"/>
                <w:szCs w:val="24"/>
              </w:rPr>
              <w:t>吨</w:t>
            </w:r>
          </w:p>
        </w:tc>
        <w:tc>
          <w:tcPr>
            <w:tcW w:w="713" w:type="pct"/>
            <w:tcBorders>
              <w:top w:val="nil"/>
              <w:left w:val="nil"/>
              <w:bottom w:val="single" w:color="auto" w:sz="4" w:space="0"/>
              <w:right w:val="single" w:color="auto" w:sz="4" w:space="0"/>
            </w:tcBorders>
            <w:shd w:val="clear" w:color="auto" w:fill="auto"/>
            <w:noWrap w:val="0"/>
            <w:vAlign w:val="center"/>
          </w:tcPr>
          <w:p>
            <w:pPr>
              <w:pStyle w:val="14"/>
              <w:spacing w:line="560" w:lineRule="exact"/>
              <w:contextualSpacing/>
              <w:rPr>
                <w:rFonts w:ascii="仿宋_GB2312" w:eastAsia="仿宋_GB2312"/>
                <w:sz w:val="24"/>
                <w:szCs w:val="24"/>
              </w:rPr>
            </w:pPr>
            <w:r>
              <w:rPr>
                <w:rFonts w:ascii="仿宋_GB2312" w:eastAsia="仿宋_GB2312"/>
                <w:sz w:val="24"/>
                <w:szCs w:val="24"/>
              </w:rPr>
              <w:t>2000</w:t>
            </w:r>
          </w:p>
        </w:tc>
        <w:tc>
          <w:tcPr>
            <w:tcW w:w="797" w:type="pct"/>
            <w:tcBorders>
              <w:top w:val="nil"/>
              <w:left w:val="nil"/>
              <w:bottom w:val="single" w:color="auto" w:sz="4" w:space="0"/>
              <w:right w:val="single" w:color="auto" w:sz="4" w:space="0"/>
            </w:tcBorders>
            <w:shd w:val="clear" w:color="auto" w:fill="auto"/>
            <w:noWrap w:val="0"/>
            <w:vAlign w:val="center"/>
          </w:tcPr>
          <w:p>
            <w:pPr>
              <w:pStyle w:val="14"/>
              <w:spacing w:line="560" w:lineRule="exact"/>
              <w:contextualSpacing/>
              <w:rPr>
                <w:rFonts w:ascii="仿宋_GB2312" w:eastAsia="仿宋_GB2312"/>
                <w:sz w:val="24"/>
                <w:szCs w:val="24"/>
              </w:rPr>
            </w:pPr>
            <w:r>
              <w:rPr>
                <w:rFonts w:hint="eastAsia" w:ascii="仿宋_GB2312" w:eastAsia="仿宋_GB2312"/>
                <w:sz w:val="24"/>
                <w:szCs w:val="24"/>
              </w:rPr>
              <w:t>预期性</w:t>
            </w:r>
          </w:p>
        </w:tc>
      </w:tr>
      <w:tr>
        <w:tblPrEx>
          <w:tblCellMar>
            <w:top w:w="0" w:type="dxa"/>
            <w:left w:w="108" w:type="dxa"/>
            <w:bottom w:w="0" w:type="dxa"/>
            <w:right w:w="108" w:type="dxa"/>
          </w:tblCellMar>
        </w:tblPrEx>
        <w:trPr>
          <w:trHeight w:val="567" w:hRule="exact"/>
        </w:trPr>
        <w:tc>
          <w:tcPr>
            <w:tcW w:w="2386" w:type="pct"/>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4"/>
              <w:spacing w:line="560" w:lineRule="exact"/>
              <w:contextualSpacing/>
              <w:rPr>
                <w:rFonts w:ascii="仿宋_GB2312" w:eastAsia="仿宋_GB2312"/>
                <w:sz w:val="24"/>
                <w:szCs w:val="24"/>
              </w:rPr>
            </w:pPr>
            <w:r>
              <w:rPr>
                <w:rFonts w:hint="eastAsia" w:ascii="仿宋_GB2312" w:eastAsia="仿宋_GB2312"/>
                <w:sz w:val="24"/>
                <w:szCs w:val="24"/>
              </w:rPr>
              <w:t>新发现大中型矿产地</w:t>
            </w:r>
          </w:p>
        </w:tc>
        <w:tc>
          <w:tcPr>
            <w:tcW w:w="1105" w:type="pct"/>
            <w:tcBorders>
              <w:top w:val="nil"/>
              <w:left w:val="nil"/>
              <w:bottom w:val="single" w:color="auto" w:sz="4" w:space="0"/>
              <w:right w:val="single" w:color="auto" w:sz="4" w:space="0"/>
            </w:tcBorders>
            <w:shd w:val="clear" w:color="auto" w:fill="auto"/>
            <w:noWrap w:val="0"/>
            <w:vAlign w:val="center"/>
          </w:tcPr>
          <w:p>
            <w:pPr>
              <w:pStyle w:val="14"/>
              <w:spacing w:line="560" w:lineRule="exact"/>
              <w:contextualSpacing/>
              <w:rPr>
                <w:rFonts w:ascii="仿宋_GB2312" w:eastAsia="仿宋_GB2312"/>
                <w:sz w:val="24"/>
                <w:szCs w:val="24"/>
              </w:rPr>
            </w:pPr>
            <w:r>
              <w:rPr>
                <w:rFonts w:hint="eastAsia" w:ascii="仿宋_GB2312" w:eastAsia="仿宋_GB2312"/>
                <w:sz w:val="24"/>
                <w:szCs w:val="24"/>
              </w:rPr>
              <w:t>处</w:t>
            </w:r>
          </w:p>
        </w:tc>
        <w:tc>
          <w:tcPr>
            <w:tcW w:w="713" w:type="pct"/>
            <w:tcBorders>
              <w:top w:val="nil"/>
              <w:left w:val="nil"/>
              <w:bottom w:val="single" w:color="auto" w:sz="4" w:space="0"/>
              <w:right w:val="single" w:color="auto" w:sz="4" w:space="0"/>
            </w:tcBorders>
            <w:shd w:val="clear" w:color="auto" w:fill="auto"/>
            <w:noWrap w:val="0"/>
            <w:vAlign w:val="center"/>
          </w:tcPr>
          <w:p>
            <w:pPr>
              <w:pStyle w:val="14"/>
              <w:spacing w:line="560" w:lineRule="exact"/>
              <w:contextualSpacing/>
              <w:rPr>
                <w:rFonts w:ascii="仿宋_GB2312" w:eastAsia="仿宋_GB2312"/>
                <w:sz w:val="24"/>
                <w:szCs w:val="24"/>
              </w:rPr>
            </w:pPr>
            <w:r>
              <w:rPr>
                <w:rFonts w:ascii="仿宋_GB2312" w:eastAsia="仿宋_GB2312"/>
                <w:sz w:val="24"/>
                <w:szCs w:val="24"/>
              </w:rPr>
              <w:t>1-2</w:t>
            </w:r>
          </w:p>
        </w:tc>
        <w:tc>
          <w:tcPr>
            <w:tcW w:w="797" w:type="pct"/>
            <w:tcBorders>
              <w:top w:val="nil"/>
              <w:left w:val="nil"/>
              <w:bottom w:val="single" w:color="auto" w:sz="4" w:space="0"/>
              <w:right w:val="single" w:color="auto" w:sz="4" w:space="0"/>
            </w:tcBorders>
            <w:shd w:val="clear" w:color="auto" w:fill="auto"/>
            <w:noWrap w:val="0"/>
            <w:vAlign w:val="center"/>
          </w:tcPr>
          <w:p>
            <w:pPr>
              <w:pStyle w:val="14"/>
              <w:spacing w:line="560" w:lineRule="exact"/>
              <w:contextualSpacing/>
              <w:rPr>
                <w:rFonts w:ascii="仿宋_GB2312" w:eastAsia="仿宋_GB2312"/>
                <w:sz w:val="24"/>
                <w:szCs w:val="24"/>
              </w:rPr>
            </w:pPr>
            <w:r>
              <w:rPr>
                <w:rFonts w:hint="eastAsia" w:ascii="仿宋_GB2312" w:eastAsia="仿宋_GB2312"/>
                <w:sz w:val="24"/>
                <w:szCs w:val="24"/>
              </w:rPr>
              <w:t>预期性</w:t>
            </w:r>
          </w:p>
        </w:tc>
      </w:tr>
      <w:tr>
        <w:tblPrEx>
          <w:tblCellMar>
            <w:top w:w="0" w:type="dxa"/>
            <w:left w:w="108" w:type="dxa"/>
            <w:bottom w:w="0" w:type="dxa"/>
            <w:right w:w="108" w:type="dxa"/>
          </w:tblCellMar>
        </w:tblPrEx>
        <w:trPr>
          <w:trHeight w:val="567" w:hRule="exact"/>
        </w:trPr>
        <w:tc>
          <w:tcPr>
            <w:tcW w:w="1017" w:type="pct"/>
            <w:vMerge w:val="restart"/>
            <w:tcBorders>
              <w:top w:val="nil"/>
              <w:left w:val="single" w:color="auto" w:sz="4" w:space="0"/>
              <w:bottom w:val="single" w:color="000000" w:sz="4" w:space="0"/>
              <w:right w:val="single" w:color="auto" w:sz="4" w:space="0"/>
            </w:tcBorders>
            <w:shd w:val="clear" w:color="auto" w:fill="auto"/>
            <w:noWrap w:val="0"/>
            <w:vAlign w:val="center"/>
          </w:tcPr>
          <w:p>
            <w:pPr>
              <w:pStyle w:val="14"/>
              <w:spacing w:line="560" w:lineRule="exact"/>
              <w:contextualSpacing/>
              <w:rPr>
                <w:rFonts w:ascii="仿宋_GB2312" w:eastAsia="仿宋_GB2312"/>
                <w:sz w:val="24"/>
                <w:szCs w:val="24"/>
              </w:rPr>
            </w:pPr>
            <w:r>
              <w:rPr>
                <w:rFonts w:hint="eastAsia" w:ascii="仿宋_GB2312" w:eastAsia="仿宋_GB2312"/>
                <w:sz w:val="24"/>
                <w:szCs w:val="24"/>
              </w:rPr>
              <w:t>矿山数量</w:t>
            </w:r>
          </w:p>
        </w:tc>
        <w:tc>
          <w:tcPr>
            <w:tcW w:w="1370" w:type="pct"/>
            <w:tcBorders>
              <w:top w:val="nil"/>
              <w:left w:val="nil"/>
              <w:bottom w:val="single" w:color="auto" w:sz="4" w:space="0"/>
              <w:right w:val="single" w:color="auto" w:sz="4" w:space="0"/>
            </w:tcBorders>
            <w:shd w:val="clear" w:color="auto" w:fill="auto"/>
            <w:noWrap w:val="0"/>
            <w:vAlign w:val="center"/>
          </w:tcPr>
          <w:p>
            <w:pPr>
              <w:pStyle w:val="14"/>
              <w:spacing w:line="560" w:lineRule="exact"/>
              <w:contextualSpacing/>
              <w:rPr>
                <w:rFonts w:ascii="仿宋_GB2312" w:eastAsia="仿宋_GB2312"/>
                <w:sz w:val="24"/>
                <w:szCs w:val="24"/>
              </w:rPr>
            </w:pPr>
            <w:r>
              <w:rPr>
                <w:rFonts w:hint="eastAsia" w:ascii="仿宋_GB2312" w:eastAsia="仿宋_GB2312"/>
                <w:sz w:val="24"/>
                <w:szCs w:val="24"/>
              </w:rPr>
              <w:t>矿山总数</w:t>
            </w:r>
          </w:p>
        </w:tc>
        <w:tc>
          <w:tcPr>
            <w:tcW w:w="1105" w:type="pct"/>
            <w:tcBorders>
              <w:top w:val="nil"/>
              <w:left w:val="nil"/>
              <w:bottom w:val="single" w:color="auto" w:sz="4" w:space="0"/>
              <w:right w:val="single" w:color="auto" w:sz="4" w:space="0"/>
            </w:tcBorders>
            <w:shd w:val="clear" w:color="auto" w:fill="auto"/>
            <w:noWrap w:val="0"/>
            <w:vAlign w:val="center"/>
          </w:tcPr>
          <w:p>
            <w:pPr>
              <w:pStyle w:val="14"/>
              <w:spacing w:line="560" w:lineRule="exact"/>
              <w:contextualSpacing/>
              <w:rPr>
                <w:rFonts w:ascii="仿宋_GB2312" w:eastAsia="仿宋_GB2312"/>
                <w:sz w:val="24"/>
                <w:szCs w:val="24"/>
              </w:rPr>
            </w:pPr>
            <w:r>
              <w:rPr>
                <w:rFonts w:hint="eastAsia" w:ascii="仿宋_GB2312" w:eastAsia="仿宋_GB2312"/>
                <w:sz w:val="24"/>
                <w:szCs w:val="24"/>
              </w:rPr>
              <w:t>个</w:t>
            </w:r>
          </w:p>
        </w:tc>
        <w:tc>
          <w:tcPr>
            <w:tcW w:w="713" w:type="pct"/>
            <w:tcBorders>
              <w:top w:val="nil"/>
              <w:left w:val="nil"/>
              <w:bottom w:val="single" w:color="auto" w:sz="4" w:space="0"/>
              <w:right w:val="single" w:color="auto" w:sz="4" w:space="0"/>
            </w:tcBorders>
            <w:shd w:val="clear" w:color="auto" w:fill="auto"/>
            <w:noWrap w:val="0"/>
            <w:vAlign w:val="center"/>
          </w:tcPr>
          <w:p>
            <w:pPr>
              <w:pStyle w:val="14"/>
              <w:spacing w:line="560" w:lineRule="exact"/>
              <w:contextualSpacing/>
              <w:rPr>
                <w:rFonts w:ascii="仿宋_GB2312" w:eastAsia="仿宋_GB2312"/>
                <w:sz w:val="24"/>
                <w:szCs w:val="24"/>
              </w:rPr>
            </w:pPr>
            <w:r>
              <w:rPr>
                <w:rFonts w:hint="eastAsia" w:ascii="仿宋_GB2312" w:eastAsia="仿宋_GB2312"/>
                <w:sz w:val="24"/>
                <w:szCs w:val="24"/>
              </w:rPr>
              <w:t>≤</w:t>
            </w:r>
            <w:r>
              <w:rPr>
                <w:rFonts w:ascii="仿宋_GB2312" w:eastAsia="仿宋_GB2312"/>
                <w:sz w:val="24"/>
                <w:szCs w:val="24"/>
              </w:rPr>
              <w:t>680</w:t>
            </w:r>
          </w:p>
        </w:tc>
        <w:tc>
          <w:tcPr>
            <w:tcW w:w="797" w:type="pct"/>
            <w:tcBorders>
              <w:top w:val="nil"/>
              <w:left w:val="nil"/>
              <w:bottom w:val="single" w:color="auto" w:sz="4" w:space="0"/>
              <w:right w:val="single" w:color="auto" w:sz="4" w:space="0"/>
            </w:tcBorders>
            <w:shd w:val="clear" w:color="auto" w:fill="auto"/>
            <w:noWrap w:val="0"/>
            <w:vAlign w:val="center"/>
          </w:tcPr>
          <w:p>
            <w:pPr>
              <w:pStyle w:val="14"/>
              <w:spacing w:line="560" w:lineRule="exact"/>
              <w:contextualSpacing/>
              <w:rPr>
                <w:rFonts w:ascii="仿宋_GB2312" w:eastAsia="仿宋_GB2312"/>
                <w:sz w:val="24"/>
                <w:szCs w:val="24"/>
              </w:rPr>
            </w:pPr>
            <w:r>
              <w:rPr>
                <w:rFonts w:hint="eastAsia" w:ascii="仿宋_GB2312" w:eastAsia="仿宋_GB2312"/>
                <w:sz w:val="24"/>
                <w:szCs w:val="24"/>
              </w:rPr>
              <w:t>预期性</w:t>
            </w:r>
          </w:p>
        </w:tc>
      </w:tr>
      <w:tr>
        <w:tblPrEx>
          <w:tblCellMar>
            <w:top w:w="0" w:type="dxa"/>
            <w:left w:w="108" w:type="dxa"/>
            <w:bottom w:w="0" w:type="dxa"/>
            <w:right w:w="108" w:type="dxa"/>
          </w:tblCellMar>
        </w:tblPrEx>
        <w:trPr>
          <w:trHeight w:val="567" w:hRule="exact"/>
        </w:trPr>
        <w:tc>
          <w:tcPr>
            <w:tcW w:w="1017" w:type="pct"/>
            <w:vMerge w:val="continue"/>
            <w:tcBorders>
              <w:top w:val="nil"/>
              <w:left w:val="single" w:color="auto" w:sz="4" w:space="0"/>
              <w:bottom w:val="single" w:color="000000" w:sz="4" w:space="0"/>
              <w:right w:val="single" w:color="auto" w:sz="4" w:space="0"/>
            </w:tcBorders>
            <w:shd w:val="clear" w:color="auto" w:fill="auto"/>
            <w:noWrap w:val="0"/>
            <w:vAlign w:val="center"/>
          </w:tcPr>
          <w:p>
            <w:pPr>
              <w:pStyle w:val="14"/>
              <w:spacing w:line="560" w:lineRule="exact"/>
              <w:contextualSpacing/>
              <w:rPr>
                <w:rFonts w:ascii="仿宋_GB2312" w:eastAsia="仿宋_GB2312"/>
                <w:sz w:val="24"/>
                <w:szCs w:val="24"/>
              </w:rPr>
            </w:pPr>
          </w:p>
        </w:tc>
        <w:tc>
          <w:tcPr>
            <w:tcW w:w="1370" w:type="pct"/>
            <w:tcBorders>
              <w:top w:val="nil"/>
              <w:left w:val="nil"/>
              <w:bottom w:val="single" w:color="auto" w:sz="4" w:space="0"/>
              <w:right w:val="single" w:color="auto" w:sz="4" w:space="0"/>
            </w:tcBorders>
            <w:shd w:val="clear" w:color="auto" w:fill="auto"/>
            <w:noWrap w:val="0"/>
            <w:vAlign w:val="center"/>
          </w:tcPr>
          <w:p>
            <w:pPr>
              <w:pStyle w:val="14"/>
              <w:spacing w:line="560" w:lineRule="exact"/>
              <w:contextualSpacing/>
              <w:rPr>
                <w:rFonts w:ascii="仿宋_GB2312" w:eastAsia="仿宋_GB2312"/>
                <w:sz w:val="24"/>
                <w:szCs w:val="24"/>
              </w:rPr>
            </w:pPr>
            <w:r>
              <w:rPr>
                <w:rFonts w:hint="eastAsia" w:ascii="仿宋_GB2312" w:eastAsia="仿宋_GB2312"/>
                <w:sz w:val="24"/>
                <w:szCs w:val="24"/>
              </w:rPr>
              <w:t>砂石土矿山数量</w:t>
            </w:r>
          </w:p>
        </w:tc>
        <w:tc>
          <w:tcPr>
            <w:tcW w:w="1105" w:type="pct"/>
            <w:tcBorders>
              <w:top w:val="nil"/>
              <w:left w:val="nil"/>
              <w:bottom w:val="single" w:color="auto" w:sz="4" w:space="0"/>
              <w:right w:val="single" w:color="auto" w:sz="4" w:space="0"/>
            </w:tcBorders>
            <w:shd w:val="clear" w:color="auto" w:fill="auto"/>
            <w:noWrap w:val="0"/>
            <w:vAlign w:val="center"/>
          </w:tcPr>
          <w:p>
            <w:pPr>
              <w:pStyle w:val="14"/>
              <w:spacing w:line="560" w:lineRule="exact"/>
              <w:contextualSpacing/>
              <w:rPr>
                <w:rFonts w:ascii="仿宋_GB2312" w:eastAsia="仿宋_GB2312"/>
                <w:sz w:val="24"/>
                <w:szCs w:val="24"/>
              </w:rPr>
            </w:pPr>
            <w:r>
              <w:rPr>
                <w:rFonts w:hint="eastAsia" w:ascii="仿宋_GB2312" w:eastAsia="仿宋_GB2312"/>
                <w:sz w:val="24"/>
                <w:szCs w:val="24"/>
              </w:rPr>
              <w:t>个</w:t>
            </w:r>
          </w:p>
        </w:tc>
        <w:tc>
          <w:tcPr>
            <w:tcW w:w="713" w:type="pct"/>
            <w:tcBorders>
              <w:top w:val="nil"/>
              <w:left w:val="nil"/>
              <w:bottom w:val="single" w:color="auto" w:sz="4" w:space="0"/>
              <w:right w:val="single" w:color="auto" w:sz="4" w:space="0"/>
            </w:tcBorders>
            <w:shd w:val="clear" w:color="auto" w:fill="auto"/>
            <w:noWrap w:val="0"/>
            <w:vAlign w:val="center"/>
          </w:tcPr>
          <w:p>
            <w:pPr>
              <w:pStyle w:val="14"/>
              <w:spacing w:line="560" w:lineRule="exact"/>
              <w:contextualSpacing/>
              <w:rPr>
                <w:rFonts w:ascii="仿宋_GB2312" w:eastAsia="仿宋_GB2312"/>
                <w:sz w:val="24"/>
                <w:szCs w:val="24"/>
              </w:rPr>
            </w:pPr>
            <w:r>
              <w:rPr>
                <w:rFonts w:hint="eastAsia" w:ascii="仿宋_GB2312" w:eastAsia="仿宋_GB2312"/>
                <w:sz w:val="24"/>
                <w:szCs w:val="24"/>
              </w:rPr>
              <w:t>≤</w:t>
            </w:r>
            <w:r>
              <w:rPr>
                <w:rFonts w:ascii="仿宋_GB2312" w:eastAsia="仿宋_GB2312"/>
                <w:sz w:val="24"/>
                <w:szCs w:val="24"/>
              </w:rPr>
              <w:t>180</w:t>
            </w:r>
          </w:p>
        </w:tc>
        <w:tc>
          <w:tcPr>
            <w:tcW w:w="797" w:type="pct"/>
            <w:tcBorders>
              <w:top w:val="nil"/>
              <w:left w:val="nil"/>
              <w:bottom w:val="single" w:color="auto" w:sz="4" w:space="0"/>
              <w:right w:val="single" w:color="auto" w:sz="4" w:space="0"/>
            </w:tcBorders>
            <w:shd w:val="clear" w:color="auto" w:fill="auto"/>
            <w:noWrap w:val="0"/>
            <w:vAlign w:val="center"/>
          </w:tcPr>
          <w:p>
            <w:pPr>
              <w:pStyle w:val="14"/>
              <w:spacing w:line="560" w:lineRule="exact"/>
              <w:contextualSpacing/>
              <w:rPr>
                <w:rFonts w:ascii="仿宋_GB2312" w:eastAsia="仿宋_GB2312"/>
                <w:sz w:val="24"/>
                <w:szCs w:val="24"/>
              </w:rPr>
            </w:pPr>
            <w:r>
              <w:rPr>
                <w:rFonts w:hint="eastAsia" w:ascii="仿宋_GB2312" w:eastAsia="仿宋_GB2312"/>
                <w:sz w:val="24"/>
                <w:szCs w:val="24"/>
              </w:rPr>
              <w:t>预期性</w:t>
            </w:r>
          </w:p>
        </w:tc>
      </w:tr>
      <w:tr>
        <w:tblPrEx>
          <w:tblCellMar>
            <w:top w:w="0" w:type="dxa"/>
            <w:left w:w="108" w:type="dxa"/>
            <w:bottom w:w="0" w:type="dxa"/>
            <w:right w:w="108" w:type="dxa"/>
          </w:tblCellMar>
        </w:tblPrEx>
        <w:trPr>
          <w:trHeight w:val="567" w:hRule="exact"/>
        </w:trPr>
        <w:tc>
          <w:tcPr>
            <w:tcW w:w="1017" w:type="pct"/>
            <w:vMerge w:val="restart"/>
            <w:tcBorders>
              <w:top w:val="nil"/>
              <w:left w:val="single" w:color="auto" w:sz="4" w:space="0"/>
              <w:right w:val="single" w:color="auto" w:sz="4" w:space="0"/>
            </w:tcBorders>
            <w:shd w:val="clear" w:color="auto" w:fill="auto"/>
            <w:noWrap w:val="0"/>
            <w:vAlign w:val="center"/>
          </w:tcPr>
          <w:p>
            <w:pPr>
              <w:pStyle w:val="14"/>
              <w:spacing w:line="560" w:lineRule="exact"/>
              <w:contextualSpacing/>
              <w:rPr>
                <w:rFonts w:ascii="仿宋_GB2312" w:eastAsia="仿宋_GB2312"/>
                <w:sz w:val="24"/>
                <w:szCs w:val="24"/>
              </w:rPr>
            </w:pPr>
            <w:r>
              <w:rPr>
                <w:rFonts w:hint="eastAsia" w:ascii="仿宋_GB2312" w:eastAsia="仿宋_GB2312"/>
                <w:sz w:val="24"/>
                <w:szCs w:val="24"/>
              </w:rPr>
              <w:t>开采总量</w:t>
            </w:r>
          </w:p>
        </w:tc>
        <w:tc>
          <w:tcPr>
            <w:tcW w:w="1370" w:type="pct"/>
            <w:tcBorders>
              <w:top w:val="nil"/>
              <w:left w:val="nil"/>
              <w:bottom w:val="single" w:color="auto" w:sz="4" w:space="0"/>
              <w:right w:val="single" w:color="auto" w:sz="4" w:space="0"/>
            </w:tcBorders>
            <w:shd w:val="clear" w:color="auto" w:fill="auto"/>
            <w:noWrap w:val="0"/>
            <w:vAlign w:val="center"/>
          </w:tcPr>
          <w:p>
            <w:pPr>
              <w:pStyle w:val="14"/>
              <w:spacing w:line="560" w:lineRule="exact"/>
              <w:contextualSpacing/>
              <w:rPr>
                <w:rFonts w:ascii="仿宋_GB2312" w:eastAsia="仿宋_GB2312"/>
                <w:sz w:val="24"/>
                <w:szCs w:val="24"/>
              </w:rPr>
            </w:pPr>
            <w:r>
              <w:rPr>
                <w:rFonts w:hint="eastAsia" w:ascii="仿宋_GB2312" w:eastAsia="仿宋_GB2312"/>
                <w:sz w:val="24"/>
                <w:szCs w:val="24"/>
              </w:rPr>
              <w:t>建筑用砂</w:t>
            </w:r>
          </w:p>
        </w:tc>
        <w:tc>
          <w:tcPr>
            <w:tcW w:w="1105" w:type="pct"/>
            <w:tcBorders>
              <w:top w:val="nil"/>
              <w:left w:val="nil"/>
              <w:bottom w:val="single" w:color="auto" w:sz="4" w:space="0"/>
              <w:right w:val="single" w:color="auto" w:sz="4" w:space="0"/>
            </w:tcBorders>
            <w:shd w:val="clear" w:color="auto" w:fill="auto"/>
            <w:noWrap w:val="0"/>
            <w:vAlign w:val="center"/>
          </w:tcPr>
          <w:p>
            <w:pPr>
              <w:pStyle w:val="14"/>
              <w:spacing w:line="560" w:lineRule="exact"/>
              <w:contextualSpacing/>
              <w:rPr>
                <w:rFonts w:ascii="仿宋_GB2312" w:eastAsia="仿宋_GB2312"/>
                <w:sz w:val="24"/>
                <w:szCs w:val="24"/>
              </w:rPr>
            </w:pPr>
            <w:r>
              <w:rPr>
                <w:rFonts w:hint="eastAsia" w:ascii="仿宋_GB2312" w:eastAsia="仿宋_GB2312"/>
                <w:sz w:val="24"/>
                <w:szCs w:val="24"/>
              </w:rPr>
              <w:t>万立方米</w:t>
            </w:r>
            <w:r>
              <w:rPr>
                <w:rFonts w:ascii="仿宋_GB2312" w:eastAsia="仿宋_GB2312"/>
                <w:sz w:val="24"/>
                <w:szCs w:val="24"/>
              </w:rPr>
              <w:t>/年</w:t>
            </w:r>
          </w:p>
        </w:tc>
        <w:tc>
          <w:tcPr>
            <w:tcW w:w="713" w:type="pct"/>
            <w:tcBorders>
              <w:top w:val="nil"/>
              <w:left w:val="nil"/>
              <w:bottom w:val="single" w:color="auto" w:sz="4" w:space="0"/>
              <w:right w:val="single" w:color="auto" w:sz="4" w:space="0"/>
            </w:tcBorders>
            <w:shd w:val="clear" w:color="auto" w:fill="auto"/>
            <w:noWrap w:val="0"/>
            <w:vAlign w:val="center"/>
          </w:tcPr>
          <w:p>
            <w:pPr>
              <w:pStyle w:val="14"/>
              <w:spacing w:line="560" w:lineRule="exact"/>
              <w:contextualSpacing/>
              <w:rPr>
                <w:rFonts w:ascii="仿宋_GB2312" w:eastAsia="仿宋_GB2312"/>
                <w:sz w:val="24"/>
                <w:szCs w:val="24"/>
              </w:rPr>
            </w:pPr>
            <w:r>
              <w:rPr>
                <w:rFonts w:ascii="仿宋_GB2312" w:eastAsia="仿宋_GB2312"/>
                <w:sz w:val="24"/>
                <w:szCs w:val="24"/>
              </w:rPr>
              <w:t>370</w:t>
            </w:r>
          </w:p>
        </w:tc>
        <w:tc>
          <w:tcPr>
            <w:tcW w:w="797" w:type="pct"/>
            <w:tcBorders>
              <w:top w:val="nil"/>
              <w:left w:val="single" w:color="auto" w:sz="4" w:space="0"/>
              <w:bottom w:val="single" w:color="auto" w:sz="4" w:space="0"/>
              <w:right w:val="single" w:color="auto" w:sz="4" w:space="0"/>
            </w:tcBorders>
            <w:shd w:val="clear" w:color="auto" w:fill="auto"/>
            <w:noWrap w:val="0"/>
            <w:vAlign w:val="center"/>
          </w:tcPr>
          <w:p>
            <w:pPr>
              <w:pStyle w:val="14"/>
              <w:spacing w:line="560" w:lineRule="exact"/>
              <w:contextualSpacing/>
              <w:rPr>
                <w:rFonts w:ascii="仿宋_GB2312" w:eastAsia="仿宋_GB2312"/>
                <w:sz w:val="24"/>
                <w:szCs w:val="24"/>
              </w:rPr>
            </w:pPr>
            <w:r>
              <w:rPr>
                <w:rFonts w:hint="eastAsia" w:ascii="仿宋_GB2312" w:eastAsia="仿宋_GB2312"/>
                <w:sz w:val="24"/>
                <w:szCs w:val="24"/>
              </w:rPr>
              <w:t>预期性</w:t>
            </w:r>
          </w:p>
        </w:tc>
      </w:tr>
      <w:tr>
        <w:tblPrEx>
          <w:tblCellMar>
            <w:top w:w="0" w:type="dxa"/>
            <w:left w:w="108" w:type="dxa"/>
            <w:bottom w:w="0" w:type="dxa"/>
            <w:right w:w="108" w:type="dxa"/>
          </w:tblCellMar>
        </w:tblPrEx>
        <w:trPr>
          <w:trHeight w:val="567" w:hRule="exact"/>
        </w:trPr>
        <w:tc>
          <w:tcPr>
            <w:tcW w:w="1017" w:type="pct"/>
            <w:vMerge w:val="continue"/>
            <w:tcBorders>
              <w:left w:val="single" w:color="auto" w:sz="4" w:space="0"/>
              <w:right w:val="single" w:color="auto" w:sz="4" w:space="0"/>
            </w:tcBorders>
            <w:shd w:val="clear" w:color="auto" w:fill="auto"/>
            <w:noWrap w:val="0"/>
            <w:vAlign w:val="center"/>
          </w:tcPr>
          <w:p>
            <w:pPr>
              <w:pStyle w:val="14"/>
              <w:spacing w:line="560" w:lineRule="exact"/>
              <w:contextualSpacing/>
              <w:rPr>
                <w:rFonts w:ascii="仿宋_GB2312" w:eastAsia="仿宋_GB2312"/>
                <w:sz w:val="24"/>
                <w:szCs w:val="24"/>
              </w:rPr>
            </w:pPr>
          </w:p>
        </w:tc>
        <w:tc>
          <w:tcPr>
            <w:tcW w:w="1370" w:type="pct"/>
            <w:tcBorders>
              <w:top w:val="nil"/>
              <w:left w:val="nil"/>
              <w:bottom w:val="single" w:color="auto" w:sz="4" w:space="0"/>
              <w:right w:val="single" w:color="auto" w:sz="4" w:space="0"/>
            </w:tcBorders>
            <w:shd w:val="clear" w:color="auto" w:fill="auto"/>
            <w:noWrap w:val="0"/>
            <w:vAlign w:val="center"/>
          </w:tcPr>
          <w:p>
            <w:pPr>
              <w:pStyle w:val="14"/>
              <w:spacing w:line="560" w:lineRule="exact"/>
              <w:contextualSpacing/>
              <w:rPr>
                <w:rFonts w:ascii="仿宋_GB2312" w:eastAsia="仿宋_GB2312"/>
                <w:sz w:val="24"/>
                <w:szCs w:val="24"/>
              </w:rPr>
            </w:pPr>
            <w:r>
              <w:rPr>
                <w:rFonts w:hint="eastAsia" w:ascii="仿宋_GB2312" w:eastAsia="仿宋_GB2312"/>
                <w:sz w:val="24"/>
                <w:szCs w:val="24"/>
              </w:rPr>
              <w:t>建筑用石</w:t>
            </w:r>
          </w:p>
        </w:tc>
        <w:tc>
          <w:tcPr>
            <w:tcW w:w="1105" w:type="pct"/>
            <w:tcBorders>
              <w:top w:val="nil"/>
              <w:left w:val="nil"/>
              <w:bottom w:val="single" w:color="auto" w:sz="4" w:space="0"/>
              <w:right w:val="single" w:color="auto" w:sz="4" w:space="0"/>
            </w:tcBorders>
            <w:shd w:val="clear" w:color="auto" w:fill="auto"/>
            <w:noWrap w:val="0"/>
            <w:vAlign w:val="center"/>
          </w:tcPr>
          <w:p>
            <w:pPr>
              <w:pStyle w:val="14"/>
              <w:spacing w:line="560" w:lineRule="exact"/>
              <w:contextualSpacing/>
              <w:rPr>
                <w:rFonts w:ascii="仿宋_GB2312" w:eastAsia="仿宋_GB2312"/>
                <w:sz w:val="24"/>
                <w:szCs w:val="24"/>
              </w:rPr>
            </w:pPr>
            <w:r>
              <w:rPr>
                <w:rFonts w:hint="eastAsia" w:ascii="仿宋_GB2312" w:eastAsia="仿宋_GB2312"/>
                <w:sz w:val="24"/>
                <w:szCs w:val="24"/>
              </w:rPr>
              <w:t>万立方米</w:t>
            </w:r>
            <w:r>
              <w:rPr>
                <w:rFonts w:ascii="仿宋_GB2312" w:eastAsia="仿宋_GB2312"/>
                <w:sz w:val="24"/>
                <w:szCs w:val="24"/>
              </w:rPr>
              <w:t>/年</w:t>
            </w:r>
          </w:p>
        </w:tc>
        <w:tc>
          <w:tcPr>
            <w:tcW w:w="713" w:type="pct"/>
            <w:tcBorders>
              <w:top w:val="nil"/>
              <w:left w:val="nil"/>
              <w:bottom w:val="single" w:color="auto" w:sz="4" w:space="0"/>
              <w:right w:val="single" w:color="auto" w:sz="4" w:space="0"/>
            </w:tcBorders>
            <w:shd w:val="clear" w:color="auto" w:fill="auto"/>
            <w:noWrap w:val="0"/>
            <w:vAlign w:val="center"/>
          </w:tcPr>
          <w:p>
            <w:pPr>
              <w:pStyle w:val="14"/>
              <w:spacing w:line="560" w:lineRule="exact"/>
              <w:contextualSpacing/>
              <w:rPr>
                <w:rFonts w:ascii="仿宋_GB2312" w:eastAsia="仿宋_GB2312"/>
                <w:sz w:val="24"/>
                <w:szCs w:val="24"/>
              </w:rPr>
            </w:pPr>
            <w:r>
              <w:rPr>
                <w:rFonts w:ascii="仿宋_GB2312" w:eastAsia="仿宋_GB2312"/>
                <w:sz w:val="24"/>
                <w:szCs w:val="24"/>
              </w:rPr>
              <w:t>850</w:t>
            </w:r>
          </w:p>
        </w:tc>
        <w:tc>
          <w:tcPr>
            <w:tcW w:w="797" w:type="pct"/>
            <w:tcBorders>
              <w:top w:val="nil"/>
              <w:left w:val="single" w:color="auto" w:sz="4" w:space="0"/>
              <w:bottom w:val="single" w:color="auto" w:sz="4" w:space="0"/>
              <w:right w:val="single" w:color="auto" w:sz="4" w:space="0"/>
            </w:tcBorders>
            <w:shd w:val="clear" w:color="auto" w:fill="auto"/>
            <w:noWrap w:val="0"/>
            <w:vAlign w:val="center"/>
          </w:tcPr>
          <w:p>
            <w:pPr>
              <w:pStyle w:val="14"/>
              <w:spacing w:line="560" w:lineRule="exact"/>
              <w:contextualSpacing/>
              <w:rPr>
                <w:rFonts w:ascii="仿宋_GB2312" w:eastAsia="仿宋_GB2312"/>
                <w:sz w:val="24"/>
                <w:szCs w:val="24"/>
              </w:rPr>
            </w:pPr>
            <w:r>
              <w:rPr>
                <w:rFonts w:hint="eastAsia" w:ascii="仿宋_GB2312" w:eastAsia="仿宋_GB2312"/>
                <w:sz w:val="24"/>
                <w:szCs w:val="24"/>
              </w:rPr>
              <w:t>预期性</w:t>
            </w:r>
          </w:p>
        </w:tc>
      </w:tr>
      <w:tr>
        <w:tblPrEx>
          <w:tblCellMar>
            <w:top w:w="0" w:type="dxa"/>
            <w:left w:w="108" w:type="dxa"/>
            <w:bottom w:w="0" w:type="dxa"/>
            <w:right w:w="108" w:type="dxa"/>
          </w:tblCellMar>
        </w:tblPrEx>
        <w:trPr>
          <w:trHeight w:val="567" w:hRule="exact"/>
        </w:trPr>
        <w:tc>
          <w:tcPr>
            <w:tcW w:w="2386" w:type="pct"/>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4"/>
              <w:spacing w:line="560" w:lineRule="exact"/>
              <w:contextualSpacing/>
              <w:rPr>
                <w:rFonts w:ascii="仿宋_GB2312" w:eastAsia="仿宋_GB2312"/>
                <w:sz w:val="24"/>
                <w:szCs w:val="24"/>
              </w:rPr>
            </w:pPr>
            <w:r>
              <w:rPr>
                <w:rFonts w:hint="eastAsia" w:ascii="仿宋_GB2312" w:eastAsia="仿宋_GB2312"/>
                <w:sz w:val="24"/>
                <w:szCs w:val="24"/>
              </w:rPr>
              <w:t>大中型矿山比例</w:t>
            </w:r>
          </w:p>
        </w:tc>
        <w:tc>
          <w:tcPr>
            <w:tcW w:w="1105" w:type="pct"/>
            <w:tcBorders>
              <w:top w:val="nil"/>
              <w:left w:val="nil"/>
              <w:bottom w:val="single" w:color="auto" w:sz="4" w:space="0"/>
              <w:right w:val="single" w:color="auto" w:sz="4" w:space="0"/>
            </w:tcBorders>
            <w:shd w:val="clear" w:color="auto" w:fill="auto"/>
            <w:noWrap w:val="0"/>
            <w:vAlign w:val="center"/>
          </w:tcPr>
          <w:p>
            <w:pPr>
              <w:pStyle w:val="14"/>
              <w:spacing w:line="560" w:lineRule="exact"/>
              <w:contextualSpacing/>
              <w:rPr>
                <w:rFonts w:ascii="仿宋_GB2312" w:eastAsia="仿宋_GB2312"/>
                <w:sz w:val="24"/>
                <w:szCs w:val="24"/>
              </w:rPr>
            </w:pPr>
            <w:r>
              <w:rPr>
                <w:rFonts w:ascii="仿宋_GB2312" w:eastAsia="仿宋_GB2312"/>
                <w:sz w:val="24"/>
                <w:szCs w:val="24"/>
              </w:rPr>
              <w:t>%</w:t>
            </w:r>
          </w:p>
        </w:tc>
        <w:tc>
          <w:tcPr>
            <w:tcW w:w="713" w:type="pct"/>
            <w:tcBorders>
              <w:top w:val="nil"/>
              <w:left w:val="nil"/>
              <w:bottom w:val="single" w:color="auto" w:sz="4" w:space="0"/>
              <w:right w:val="single" w:color="auto" w:sz="4" w:space="0"/>
            </w:tcBorders>
            <w:shd w:val="clear" w:color="auto" w:fill="auto"/>
            <w:noWrap w:val="0"/>
            <w:vAlign w:val="center"/>
          </w:tcPr>
          <w:p>
            <w:pPr>
              <w:pStyle w:val="14"/>
              <w:spacing w:line="560" w:lineRule="exact"/>
              <w:contextualSpacing/>
              <w:rPr>
                <w:rFonts w:ascii="仿宋_GB2312" w:eastAsia="仿宋_GB2312"/>
                <w:sz w:val="24"/>
                <w:szCs w:val="24"/>
              </w:rPr>
            </w:pPr>
            <w:r>
              <w:rPr>
                <w:rFonts w:ascii="仿宋_GB2312" w:eastAsia="仿宋_GB2312"/>
                <w:sz w:val="24"/>
                <w:szCs w:val="24"/>
              </w:rPr>
              <w:t>25</w:t>
            </w:r>
          </w:p>
        </w:tc>
        <w:tc>
          <w:tcPr>
            <w:tcW w:w="797" w:type="pct"/>
            <w:tcBorders>
              <w:top w:val="nil"/>
              <w:left w:val="nil"/>
              <w:bottom w:val="single" w:color="auto" w:sz="4" w:space="0"/>
              <w:right w:val="single" w:color="auto" w:sz="4" w:space="0"/>
            </w:tcBorders>
            <w:shd w:val="clear" w:color="auto" w:fill="auto"/>
            <w:noWrap w:val="0"/>
            <w:vAlign w:val="center"/>
          </w:tcPr>
          <w:p>
            <w:pPr>
              <w:pStyle w:val="14"/>
              <w:spacing w:line="560" w:lineRule="exact"/>
              <w:contextualSpacing/>
              <w:rPr>
                <w:rFonts w:ascii="仿宋_GB2312" w:eastAsia="仿宋_GB2312"/>
                <w:sz w:val="24"/>
                <w:szCs w:val="24"/>
              </w:rPr>
            </w:pPr>
            <w:r>
              <w:rPr>
                <w:rFonts w:hint="eastAsia" w:ascii="仿宋_GB2312" w:eastAsia="仿宋_GB2312"/>
                <w:sz w:val="24"/>
                <w:szCs w:val="24"/>
              </w:rPr>
              <w:t>预期性</w:t>
            </w:r>
          </w:p>
        </w:tc>
      </w:tr>
      <w:tr>
        <w:trPr>
          <w:trHeight w:val="567" w:hRule="exact"/>
        </w:trPr>
        <w:tc>
          <w:tcPr>
            <w:tcW w:w="2386" w:type="pct"/>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4"/>
              <w:spacing w:line="560" w:lineRule="exact"/>
              <w:contextualSpacing/>
              <w:rPr>
                <w:rFonts w:ascii="仿宋_GB2312" w:eastAsia="仿宋_GB2312"/>
                <w:sz w:val="24"/>
                <w:szCs w:val="24"/>
              </w:rPr>
            </w:pPr>
            <w:r>
              <w:rPr>
                <w:rFonts w:hint="eastAsia" w:ascii="仿宋_GB2312" w:eastAsia="仿宋_GB2312"/>
                <w:sz w:val="24"/>
                <w:szCs w:val="24"/>
              </w:rPr>
              <w:t>生产矿山地质环境应治理率</w:t>
            </w:r>
          </w:p>
        </w:tc>
        <w:tc>
          <w:tcPr>
            <w:tcW w:w="1105" w:type="pct"/>
            <w:tcBorders>
              <w:top w:val="nil"/>
              <w:left w:val="nil"/>
              <w:bottom w:val="single" w:color="auto" w:sz="4" w:space="0"/>
              <w:right w:val="single" w:color="auto" w:sz="4" w:space="0"/>
            </w:tcBorders>
            <w:shd w:val="clear" w:color="auto" w:fill="auto"/>
            <w:noWrap w:val="0"/>
            <w:vAlign w:val="center"/>
          </w:tcPr>
          <w:p>
            <w:pPr>
              <w:pStyle w:val="14"/>
              <w:spacing w:line="560" w:lineRule="exact"/>
              <w:contextualSpacing/>
              <w:rPr>
                <w:rFonts w:ascii="仿宋_GB2312" w:eastAsia="仿宋_GB2312"/>
                <w:sz w:val="24"/>
                <w:szCs w:val="24"/>
              </w:rPr>
            </w:pPr>
            <w:r>
              <w:rPr>
                <w:rFonts w:ascii="仿宋_GB2312" w:eastAsia="仿宋_GB2312"/>
                <w:sz w:val="24"/>
                <w:szCs w:val="24"/>
              </w:rPr>
              <w:t>%</w:t>
            </w:r>
          </w:p>
        </w:tc>
        <w:tc>
          <w:tcPr>
            <w:tcW w:w="713" w:type="pct"/>
            <w:tcBorders>
              <w:top w:val="nil"/>
              <w:left w:val="nil"/>
              <w:bottom w:val="single" w:color="auto" w:sz="4" w:space="0"/>
              <w:right w:val="single" w:color="auto" w:sz="4" w:space="0"/>
            </w:tcBorders>
            <w:shd w:val="clear" w:color="auto" w:fill="auto"/>
            <w:noWrap w:val="0"/>
            <w:vAlign w:val="center"/>
          </w:tcPr>
          <w:p>
            <w:pPr>
              <w:pStyle w:val="14"/>
              <w:spacing w:line="560" w:lineRule="exact"/>
              <w:contextualSpacing/>
              <w:rPr>
                <w:rFonts w:ascii="仿宋_GB2312" w:eastAsia="仿宋_GB2312"/>
                <w:sz w:val="24"/>
                <w:szCs w:val="24"/>
              </w:rPr>
            </w:pPr>
            <w:r>
              <w:rPr>
                <w:rFonts w:ascii="仿宋_GB2312" w:eastAsia="仿宋_GB2312"/>
                <w:sz w:val="24"/>
                <w:szCs w:val="24"/>
              </w:rPr>
              <w:t>100</w:t>
            </w:r>
          </w:p>
        </w:tc>
        <w:tc>
          <w:tcPr>
            <w:tcW w:w="797" w:type="pct"/>
            <w:tcBorders>
              <w:top w:val="nil"/>
              <w:left w:val="nil"/>
              <w:bottom w:val="single" w:color="auto" w:sz="4" w:space="0"/>
              <w:right w:val="single" w:color="auto" w:sz="4" w:space="0"/>
            </w:tcBorders>
            <w:shd w:val="clear" w:color="auto" w:fill="auto"/>
            <w:noWrap w:val="0"/>
            <w:vAlign w:val="center"/>
          </w:tcPr>
          <w:p>
            <w:pPr>
              <w:pStyle w:val="14"/>
              <w:spacing w:line="560" w:lineRule="exact"/>
              <w:contextualSpacing/>
              <w:rPr>
                <w:rFonts w:ascii="仿宋_GB2312" w:eastAsia="仿宋_GB2312"/>
                <w:sz w:val="24"/>
                <w:szCs w:val="24"/>
              </w:rPr>
            </w:pPr>
            <w:r>
              <w:rPr>
                <w:rFonts w:hint="eastAsia" w:ascii="仿宋_GB2312" w:eastAsia="仿宋_GB2312"/>
                <w:sz w:val="24"/>
                <w:szCs w:val="24"/>
              </w:rPr>
              <w:t>约束性</w:t>
            </w:r>
          </w:p>
        </w:tc>
      </w:tr>
    </w:tbl>
    <w:p>
      <w:pPr>
        <w:spacing w:line="560" w:lineRule="exact"/>
        <w:ind w:firstLine="640"/>
        <w:contextualSpacing/>
        <w:rPr>
          <w:rFonts w:ascii="仿宋_GB2312" w:eastAsia="仿宋_GB2312"/>
          <w:sz w:val="32"/>
          <w:szCs w:val="32"/>
        </w:rPr>
      </w:pPr>
    </w:p>
    <w:p>
      <w:pPr>
        <w:spacing w:line="560" w:lineRule="exact"/>
        <w:ind w:firstLine="640"/>
        <w:contextualSpacing/>
        <w:rPr>
          <w:rFonts w:ascii="仿宋_GB2312" w:eastAsia="仿宋_GB2312"/>
          <w:sz w:val="32"/>
          <w:szCs w:val="32"/>
        </w:rPr>
      </w:pPr>
      <w:r>
        <w:rPr>
          <w:rFonts w:ascii="仿宋_GB2312" w:eastAsia="仿宋_GB2312"/>
          <w:sz w:val="32"/>
          <w:szCs w:val="32"/>
        </w:rPr>
        <w:t>2035年远景目标：</w:t>
      </w:r>
    </w:p>
    <w:p>
      <w:pPr>
        <w:spacing w:line="560" w:lineRule="exact"/>
        <w:ind w:firstLine="640"/>
        <w:contextualSpacing/>
        <w:rPr>
          <w:rFonts w:ascii="仿宋_GB2312" w:eastAsia="仿宋_GB2312"/>
          <w:sz w:val="32"/>
          <w:szCs w:val="32"/>
        </w:rPr>
      </w:pPr>
      <w:r>
        <w:rPr>
          <w:rFonts w:hint="eastAsia" w:ascii="仿宋_GB2312" w:eastAsia="仿宋_GB2312"/>
          <w:sz w:val="32"/>
          <w:szCs w:val="32"/>
        </w:rPr>
        <w:t>预计到</w:t>
      </w:r>
      <w:r>
        <w:rPr>
          <w:rFonts w:ascii="仿宋_GB2312" w:eastAsia="仿宋_GB2312"/>
          <w:sz w:val="32"/>
          <w:szCs w:val="32"/>
        </w:rPr>
        <w:t>2035年，战略性矿产形成稳定、安全的资源保障体系，勘查开发空间布局更加合理，矿业可持续发展，矿山生态环境根本好转，全面完成矿业绿色转型，全面实现矿产资源治理体系和治理能力现代化，全面形成矿业高质量发展新格局。</w:t>
      </w:r>
    </w:p>
    <w:p>
      <w:pPr>
        <w:spacing w:line="560" w:lineRule="exact"/>
        <w:ind w:firstLine="640"/>
        <w:contextualSpacing/>
        <w:rPr>
          <w:rFonts w:ascii="仿宋_GB2312" w:eastAsia="仿宋_GB2312"/>
          <w:sz w:val="32"/>
          <w:szCs w:val="32"/>
        </w:rPr>
      </w:pPr>
      <w:bookmarkStart w:id="13" w:name="_Toc505614494"/>
      <w:r>
        <w:rPr>
          <w:rFonts w:ascii="仿宋_GB2312" w:eastAsia="仿宋_GB2312"/>
          <w:sz w:val="32"/>
          <w:szCs w:val="32"/>
        </w:rPr>
        <w:br w:type="page"/>
      </w:r>
    </w:p>
    <w:bookmarkEnd w:id="13"/>
    <w:p>
      <w:pPr>
        <w:pStyle w:val="2"/>
        <w:rPr>
          <w:szCs w:val="32"/>
        </w:rPr>
      </w:pPr>
      <w:bookmarkStart w:id="14" w:name="_Toc106610318"/>
      <w:r>
        <w:rPr>
          <w:rFonts w:hint="eastAsia"/>
          <w:szCs w:val="32"/>
        </w:rPr>
        <w:t>第三章</w:t>
      </w:r>
      <w:r>
        <w:rPr>
          <w:szCs w:val="32"/>
        </w:rPr>
        <w:t xml:space="preserve"> </w:t>
      </w:r>
      <w:r>
        <w:rPr>
          <w:rFonts w:hint="eastAsia"/>
          <w:szCs w:val="32"/>
        </w:rPr>
        <w:t>勘查开发总体布局</w:t>
      </w:r>
      <w:bookmarkEnd w:id="14"/>
    </w:p>
    <w:p>
      <w:pPr>
        <w:pStyle w:val="3"/>
      </w:pPr>
      <w:bookmarkStart w:id="15" w:name="_Toc106610319"/>
      <w:r>
        <w:rPr>
          <w:rFonts w:hint="eastAsia"/>
        </w:rPr>
        <w:t>第一节</w:t>
      </w:r>
      <w:r>
        <w:t xml:space="preserve"> </w:t>
      </w:r>
      <w:r>
        <w:rPr>
          <w:rFonts w:hint="eastAsia"/>
        </w:rPr>
        <w:t>勘查开发保护区域布局</w:t>
      </w:r>
      <w:bookmarkEnd w:id="15"/>
    </w:p>
    <w:p>
      <w:pPr>
        <w:spacing w:line="560" w:lineRule="exact"/>
        <w:ind w:firstLine="640"/>
        <w:contextualSpacing/>
        <w:rPr>
          <w:rFonts w:ascii="仿宋_GB2312" w:eastAsia="仿宋_GB2312"/>
          <w:sz w:val="32"/>
          <w:szCs w:val="32"/>
        </w:rPr>
      </w:pPr>
      <w:r>
        <w:rPr>
          <w:rFonts w:hint="eastAsia" w:ascii="仿宋_GB2312" w:eastAsia="仿宋_GB2312"/>
          <w:sz w:val="32"/>
          <w:szCs w:val="32"/>
        </w:rPr>
        <w:t>严守生态安全底线。严格落实国土空间和生态环境分区管控要求，执行矿业与生态保护相关的法律法规和政策规定，从严控制矿产资源开发占用草原、林地，在矿产资源勘查和开发利用的同时，保护好永久基本农田。</w:t>
      </w:r>
    </w:p>
    <w:p>
      <w:pPr>
        <w:spacing w:line="560" w:lineRule="exact"/>
        <w:ind w:firstLine="640"/>
        <w:contextualSpacing/>
        <w:rPr>
          <w:rFonts w:ascii="仿宋_GB2312" w:eastAsia="仿宋_GB2312"/>
          <w:sz w:val="32"/>
          <w:szCs w:val="32"/>
        </w:rPr>
      </w:pPr>
      <w:r>
        <w:rPr>
          <w:rFonts w:hint="eastAsia" w:ascii="仿宋_GB2312" w:eastAsia="仿宋_GB2312"/>
          <w:sz w:val="32"/>
          <w:szCs w:val="32"/>
        </w:rPr>
        <w:t>发挥北部有色金属资源优势。以铅、锌、铜、钼、锡、银、锂等优势矿种为主攻矿种，在巴林左旗、林西县、克什克腾旗等能源资源基地、国家规划矿区以及重点勘查区内加大找矿勘查，贯彻绿色勘查理念，鼓励利用新手段、新方法加大老矿山深部及外围找矿。对工作程度较低的地区采取地质与遥感等视域广、破坏少的勘查相结合的方法，提高区域地质认识，发现更多找矿线索，实现矿产资源储量稳步增长。推进红岭铅锌矿、大井子铜矿、边家大院铅锌矿、拜仁达坝银多金属矿等大中型矿山对周边小型矿山的整合，促进矿山规模化发展和资源节约集约高效利用。依托双尖子山银矿、拜仁达坝银矿等产地丰富银矿资源，着力打造“北方银都”。</w:t>
      </w:r>
    </w:p>
    <w:p>
      <w:pPr>
        <w:spacing w:line="560" w:lineRule="exact"/>
        <w:ind w:firstLine="640"/>
        <w:contextualSpacing/>
        <w:rPr>
          <w:rFonts w:ascii="仿宋_GB2312" w:eastAsia="仿宋_GB2312"/>
          <w:sz w:val="32"/>
          <w:szCs w:val="32"/>
        </w:rPr>
      </w:pPr>
      <w:r>
        <w:rPr>
          <w:rFonts w:hint="eastAsia" w:ascii="仿宋_GB2312" w:eastAsia="仿宋_GB2312"/>
          <w:sz w:val="32"/>
          <w:szCs w:val="32"/>
        </w:rPr>
        <w:t>做好中部资源勘查开发与生态环境保护协调发展。对油房地</w:t>
      </w:r>
      <w:r>
        <w:rPr>
          <w:rFonts w:ascii="仿宋_GB2312" w:eastAsia="仿宋_GB2312"/>
          <w:sz w:val="32"/>
          <w:szCs w:val="32"/>
        </w:rPr>
        <w:t>-毕家营子能源资源基地加大调查评价和勘查投入，促进矿山规模化建设，提高铅、锌、铜、钼、银等资源保障能力。推进翁牛特旗桥头镇荷尔勿苏地区、乌丹镇青石洞子-桥头镇兴隆庄地区的铅锌矿整合。利用优势砂石资源的同时，保护好西拉木伦河阶地地貌景观及科尔沁沙地景观，落实与</w:t>
      </w:r>
      <w:r>
        <w:rPr>
          <w:rFonts w:hint="eastAsia" w:ascii="仿宋_GB2312" w:eastAsia="仿宋_GB2312"/>
          <w:sz w:val="32"/>
          <w:szCs w:val="32"/>
        </w:rPr>
        <w:t>防沙治沙相关的要求。协调好矿业开发与中东部沙地保护区和西部灯笼河保护区的关系。</w:t>
      </w:r>
    </w:p>
    <w:p>
      <w:pPr>
        <w:spacing w:line="560" w:lineRule="exact"/>
        <w:ind w:firstLine="640"/>
        <w:contextualSpacing/>
        <w:rPr>
          <w:rFonts w:ascii="仿宋_GB2312" w:eastAsia="仿宋_GB2312"/>
          <w:sz w:val="32"/>
          <w:szCs w:val="32"/>
        </w:rPr>
      </w:pPr>
      <w:r>
        <w:rPr>
          <w:rFonts w:hint="eastAsia" w:ascii="仿宋_GB2312" w:eastAsia="仿宋_GB2312"/>
          <w:sz w:val="32"/>
          <w:szCs w:val="32"/>
        </w:rPr>
        <w:t>提高南部铜、金、地热等资源保障能力。重点勘查开发利用王府地区、四家子</w:t>
      </w:r>
      <w:r>
        <w:rPr>
          <w:rFonts w:ascii="仿宋_GB2312" w:eastAsia="仿宋_GB2312"/>
          <w:sz w:val="32"/>
          <w:szCs w:val="32"/>
        </w:rPr>
        <w:t>-金厂沟梁地区、大水清地区、八里罕地区的铁、铜、金等战略性矿产，增加资源储量，提高“三率”水平，增强资源保障能力。在沿锡伯河断裂和嫩江-八里罕断裂一带、阿鲁科尔沁旗绍根盆地、敖汉旗四家子地区等成热有利地区开展地热勘查工作，以勘查促开发，提升清洁能源、热卤水资源、医疗热矿水的综合利用水平，引导地热资源在全市经济发展中发挥更大作用。在保障资源安全的同时，服从战略性矿产资源开发调控，保障资源生产过程安全环保可控。</w:t>
      </w:r>
    </w:p>
    <w:p>
      <w:pPr>
        <w:spacing w:line="560" w:lineRule="exact"/>
        <w:ind w:firstLine="640"/>
        <w:contextualSpacing/>
        <w:rPr>
          <w:rFonts w:ascii="仿宋_GB2312" w:eastAsia="仿宋_GB2312"/>
          <w:sz w:val="32"/>
          <w:szCs w:val="32"/>
        </w:rPr>
      </w:pPr>
      <w:r>
        <w:rPr>
          <w:rFonts w:hint="eastAsia" w:ascii="仿宋_GB2312" w:eastAsia="仿宋_GB2312"/>
          <w:sz w:val="32"/>
          <w:szCs w:val="32"/>
        </w:rPr>
        <w:t>提升萤石、膨润土、珍珠岩开发利用水平。激活与喀喇沁岩体、大兴安岭中生代岩浆岩、乌丹以西岩浆岩相关的萤石矿产资源潜力，促进萤石矿矿业权整合。发挥宁城县膨润土、珍珠岩资源优势，以天宇膨润土、天鸿矿业、金兴矿业等重点企业为龙头，引进新技术，提高产品科技含量及附加值。实施产品高端化、精品化、差异化发展，注重延伸资源产业链，提升低品位、共伴生矿产综合利用水平，推进尾矿、废石等固体废弃物资源化利用，努力打造特色非金属深加工基地。</w:t>
      </w:r>
    </w:p>
    <w:p>
      <w:pPr>
        <w:pStyle w:val="3"/>
      </w:pPr>
      <w:bookmarkStart w:id="16" w:name="_Toc106610320"/>
      <w:r>
        <w:rPr>
          <w:rFonts w:hint="eastAsia"/>
        </w:rPr>
        <w:t>第二节</w:t>
      </w:r>
      <w:r>
        <w:t xml:space="preserve"> </w:t>
      </w:r>
      <w:r>
        <w:rPr>
          <w:rFonts w:hint="eastAsia"/>
        </w:rPr>
        <w:t>能源资源安全保障布局</w:t>
      </w:r>
      <w:bookmarkEnd w:id="16"/>
    </w:p>
    <w:p>
      <w:pPr>
        <w:pStyle w:val="5"/>
        <w:ind w:firstLine="640"/>
        <w:rPr>
          <w:szCs w:val="32"/>
        </w:rPr>
      </w:pPr>
      <w:r>
        <w:rPr>
          <w:rFonts w:hint="eastAsia"/>
          <w:szCs w:val="32"/>
        </w:rPr>
        <w:t>一、能源资源基地</w:t>
      </w:r>
    </w:p>
    <w:p>
      <w:pPr>
        <w:spacing w:line="560" w:lineRule="exact"/>
        <w:ind w:firstLine="640"/>
        <w:contextualSpacing/>
        <w:rPr>
          <w:rFonts w:ascii="仿宋_GB2312" w:eastAsia="仿宋_GB2312"/>
          <w:sz w:val="32"/>
          <w:szCs w:val="32"/>
        </w:rPr>
      </w:pPr>
      <w:r>
        <w:rPr>
          <w:rFonts w:hint="eastAsia" w:ascii="仿宋_GB2312" w:eastAsia="仿宋_GB2312"/>
          <w:sz w:val="32"/>
          <w:szCs w:val="32"/>
        </w:rPr>
        <w:t>落实上级规划划定的能源资源基地</w:t>
      </w:r>
      <w:r>
        <w:rPr>
          <w:rFonts w:ascii="仿宋_GB2312" w:eastAsia="仿宋_GB2312"/>
          <w:sz w:val="32"/>
          <w:szCs w:val="32"/>
        </w:rPr>
        <w:t>4处，面积6098.90平方千米，主要矿种为铁、铅、锌、锡、钨、银、锂等。</w:t>
      </w:r>
    </w:p>
    <w:p>
      <w:pPr>
        <w:pStyle w:val="13"/>
        <w:spacing w:line="560" w:lineRule="exact"/>
        <w:ind w:firstLine="0" w:firstLineChars="0"/>
        <w:contextualSpacing/>
        <w:jc w:val="center"/>
        <w:rPr>
          <w:rFonts w:ascii="黑体" w:hAnsi="黑体" w:eastAsia="黑体"/>
          <w:color w:val="auto"/>
          <w:sz w:val="24"/>
          <w:szCs w:val="24"/>
        </w:rPr>
      </w:pPr>
      <w:r>
        <w:rPr>
          <w:rFonts w:hint="eastAsia" w:ascii="黑体" w:hAnsi="黑体" w:eastAsia="黑体"/>
          <w:color w:val="auto"/>
          <w:sz w:val="24"/>
          <w:szCs w:val="24"/>
        </w:rPr>
        <w:t>专栏</w:t>
      </w:r>
      <w:r>
        <w:rPr>
          <w:rFonts w:ascii="黑体" w:hAnsi="黑体" w:eastAsia="黑体"/>
          <w:color w:val="auto"/>
          <w:sz w:val="24"/>
          <w:szCs w:val="24"/>
        </w:rPr>
        <w:t xml:space="preserve">2 </w:t>
      </w:r>
      <w:r>
        <w:rPr>
          <w:rFonts w:hint="eastAsia" w:ascii="黑体" w:hAnsi="黑体" w:eastAsia="黑体"/>
          <w:color w:val="auto"/>
          <w:sz w:val="24"/>
          <w:szCs w:val="24"/>
        </w:rPr>
        <w:t>能源资源基地</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5"/>
        <w:gridCol w:w="4382"/>
        <w:gridCol w:w="3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537" w:type="pct"/>
            <w:shd w:val="clear" w:color="auto" w:fill="auto"/>
            <w:noWrap w:val="0"/>
            <w:vAlign w:val="center"/>
          </w:tcPr>
          <w:p>
            <w:pPr>
              <w:pStyle w:val="15"/>
              <w:spacing w:line="560" w:lineRule="exact"/>
              <w:contextualSpacing/>
              <w:rPr>
                <w:rFonts w:ascii="黑体" w:hAnsi="黑体" w:eastAsia="黑体"/>
                <w:color w:val="000000"/>
                <w:sz w:val="24"/>
                <w:szCs w:val="24"/>
              </w:rPr>
            </w:pPr>
            <w:r>
              <w:rPr>
                <w:rFonts w:hint="eastAsia" w:ascii="黑体" w:hAnsi="黑体" w:eastAsia="黑体"/>
                <w:color w:val="000000"/>
                <w:sz w:val="24"/>
                <w:szCs w:val="24"/>
              </w:rPr>
              <w:t>序号</w:t>
            </w:r>
          </w:p>
        </w:tc>
        <w:tc>
          <w:tcPr>
            <w:tcW w:w="2571" w:type="pct"/>
            <w:shd w:val="clear" w:color="auto" w:fill="auto"/>
            <w:noWrap w:val="0"/>
            <w:vAlign w:val="center"/>
          </w:tcPr>
          <w:p>
            <w:pPr>
              <w:pStyle w:val="15"/>
              <w:spacing w:line="560" w:lineRule="exact"/>
              <w:contextualSpacing/>
              <w:rPr>
                <w:rFonts w:ascii="黑体" w:hAnsi="黑体" w:eastAsia="黑体"/>
                <w:color w:val="000000"/>
                <w:sz w:val="24"/>
                <w:szCs w:val="24"/>
              </w:rPr>
            </w:pPr>
            <w:r>
              <w:rPr>
                <w:rFonts w:hint="eastAsia" w:ascii="黑体" w:hAnsi="黑体" w:eastAsia="黑体"/>
                <w:color w:val="000000"/>
                <w:sz w:val="24"/>
                <w:szCs w:val="24"/>
              </w:rPr>
              <w:t>基地名称</w:t>
            </w:r>
          </w:p>
        </w:tc>
        <w:tc>
          <w:tcPr>
            <w:tcW w:w="1893" w:type="pct"/>
            <w:shd w:val="clear" w:color="auto" w:fill="auto"/>
            <w:noWrap w:val="0"/>
            <w:vAlign w:val="center"/>
          </w:tcPr>
          <w:p>
            <w:pPr>
              <w:pStyle w:val="15"/>
              <w:spacing w:line="560" w:lineRule="exact"/>
              <w:contextualSpacing/>
              <w:rPr>
                <w:rFonts w:ascii="黑体" w:hAnsi="黑体" w:eastAsia="黑体"/>
                <w:color w:val="000000"/>
                <w:sz w:val="24"/>
                <w:szCs w:val="24"/>
              </w:rPr>
            </w:pPr>
            <w:r>
              <w:rPr>
                <w:rFonts w:hint="eastAsia" w:ascii="黑体" w:hAnsi="黑体" w:eastAsia="黑体"/>
                <w:color w:val="000000"/>
                <w:sz w:val="24"/>
                <w:szCs w:val="24"/>
              </w:rPr>
              <w:t>主要矿种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37" w:type="pct"/>
            <w:shd w:val="clear" w:color="auto" w:fill="auto"/>
            <w:noWrap w:val="0"/>
            <w:vAlign w:val="center"/>
          </w:tcPr>
          <w:p>
            <w:pPr>
              <w:pStyle w:val="15"/>
              <w:spacing w:line="560" w:lineRule="exact"/>
              <w:contextualSpacing/>
              <w:rPr>
                <w:rFonts w:ascii="仿宋_GB2312" w:hAnsi="宋体" w:eastAsia="仿宋_GB2312"/>
                <w:color w:val="000000"/>
                <w:sz w:val="24"/>
                <w:szCs w:val="24"/>
              </w:rPr>
            </w:pPr>
            <w:r>
              <w:rPr>
                <w:rFonts w:ascii="仿宋_GB2312" w:hAnsi="宋体" w:eastAsia="仿宋_GB2312"/>
                <w:color w:val="000000"/>
                <w:sz w:val="24"/>
                <w:szCs w:val="24"/>
              </w:rPr>
              <w:t>1</w:t>
            </w:r>
          </w:p>
        </w:tc>
        <w:tc>
          <w:tcPr>
            <w:tcW w:w="2571" w:type="pct"/>
            <w:shd w:val="clear" w:color="auto" w:fill="auto"/>
            <w:noWrap w:val="0"/>
            <w:vAlign w:val="center"/>
          </w:tcPr>
          <w:p>
            <w:pPr>
              <w:pStyle w:val="15"/>
              <w:spacing w:line="560" w:lineRule="exact"/>
              <w:contextualSpacing/>
              <w:rPr>
                <w:rFonts w:ascii="仿宋_GB2312" w:hAnsi="宋体" w:eastAsia="仿宋_GB2312"/>
                <w:color w:val="000000"/>
                <w:sz w:val="24"/>
                <w:szCs w:val="24"/>
              </w:rPr>
            </w:pPr>
            <w:r>
              <w:rPr>
                <w:rFonts w:hint="eastAsia" w:ascii="仿宋_GB2312" w:hAnsi="宋体" w:eastAsia="仿宋_GB2312"/>
                <w:color w:val="000000"/>
                <w:sz w:val="24"/>
                <w:szCs w:val="24"/>
              </w:rPr>
              <w:t>巴林左旗白音诺</w:t>
            </w:r>
            <w:r>
              <w:rPr>
                <w:rFonts w:ascii="仿宋_GB2312" w:hAnsi="宋体" w:eastAsia="仿宋_GB2312"/>
                <w:color w:val="000000"/>
                <w:sz w:val="24"/>
                <w:szCs w:val="24"/>
              </w:rPr>
              <w:t>-双尖子山</w:t>
            </w:r>
          </w:p>
        </w:tc>
        <w:tc>
          <w:tcPr>
            <w:tcW w:w="1893" w:type="pct"/>
            <w:shd w:val="clear" w:color="auto" w:fill="auto"/>
            <w:noWrap w:val="0"/>
            <w:vAlign w:val="center"/>
          </w:tcPr>
          <w:p>
            <w:pPr>
              <w:pStyle w:val="15"/>
              <w:spacing w:line="560" w:lineRule="exact"/>
              <w:contextualSpacing/>
              <w:rPr>
                <w:rFonts w:ascii="仿宋_GB2312" w:hAnsi="宋体" w:eastAsia="仿宋_GB2312"/>
                <w:color w:val="000000"/>
                <w:sz w:val="24"/>
                <w:szCs w:val="24"/>
              </w:rPr>
            </w:pPr>
            <w:r>
              <w:rPr>
                <w:rFonts w:hint="eastAsia" w:ascii="仿宋_GB2312" w:hAnsi="宋体" w:eastAsia="仿宋_GB2312"/>
                <w:color w:val="000000"/>
                <w:sz w:val="24"/>
                <w:szCs w:val="24"/>
              </w:rPr>
              <w:t>铅、锌、银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37" w:type="pct"/>
            <w:shd w:val="clear" w:color="auto" w:fill="auto"/>
            <w:noWrap w:val="0"/>
            <w:vAlign w:val="center"/>
          </w:tcPr>
          <w:p>
            <w:pPr>
              <w:pStyle w:val="15"/>
              <w:spacing w:line="560" w:lineRule="exact"/>
              <w:contextualSpacing/>
              <w:rPr>
                <w:rFonts w:ascii="仿宋_GB2312" w:hAnsi="宋体" w:eastAsia="仿宋_GB2312"/>
                <w:color w:val="000000"/>
                <w:sz w:val="24"/>
                <w:szCs w:val="24"/>
              </w:rPr>
            </w:pPr>
            <w:r>
              <w:rPr>
                <w:rFonts w:ascii="仿宋_GB2312" w:hAnsi="宋体" w:eastAsia="仿宋_GB2312"/>
                <w:color w:val="000000"/>
                <w:sz w:val="24"/>
                <w:szCs w:val="24"/>
              </w:rPr>
              <w:t>2</w:t>
            </w:r>
          </w:p>
        </w:tc>
        <w:tc>
          <w:tcPr>
            <w:tcW w:w="2571" w:type="pct"/>
            <w:shd w:val="clear" w:color="auto" w:fill="auto"/>
            <w:noWrap w:val="0"/>
            <w:vAlign w:val="center"/>
          </w:tcPr>
          <w:p>
            <w:pPr>
              <w:pStyle w:val="15"/>
              <w:spacing w:line="560" w:lineRule="exact"/>
              <w:contextualSpacing/>
              <w:rPr>
                <w:rFonts w:ascii="仿宋_GB2312" w:hAnsi="宋体" w:eastAsia="仿宋_GB2312"/>
                <w:color w:val="000000"/>
                <w:sz w:val="24"/>
                <w:szCs w:val="24"/>
              </w:rPr>
            </w:pPr>
            <w:r>
              <w:rPr>
                <w:rFonts w:hint="eastAsia" w:ascii="仿宋_GB2312" w:hAnsi="宋体" w:eastAsia="仿宋_GB2312"/>
                <w:color w:val="000000"/>
                <w:sz w:val="24"/>
                <w:szCs w:val="24"/>
              </w:rPr>
              <w:t>克什克腾维拉斯托</w:t>
            </w:r>
            <w:r>
              <w:rPr>
                <w:rFonts w:ascii="仿宋_GB2312" w:hAnsi="宋体" w:eastAsia="仿宋_GB2312"/>
                <w:color w:val="000000"/>
                <w:sz w:val="24"/>
                <w:szCs w:val="24"/>
              </w:rPr>
              <w:t>-拜仁达坝</w:t>
            </w:r>
          </w:p>
        </w:tc>
        <w:tc>
          <w:tcPr>
            <w:tcW w:w="1893" w:type="pct"/>
            <w:shd w:val="clear" w:color="auto" w:fill="auto"/>
            <w:noWrap w:val="0"/>
            <w:vAlign w:val="center"/>
          </w:tcPr>
          <w:p>
            <w:pPr>
              <w:pStyle w:val="15"/>
              <w:spacing w:line="560" w:lineRule="exact"/>
              <w:contextualSpacing/>
              <w:rPr>
                <w:rFonts w:ascii="仿宋_GB2312" w:hAnsi="宋体" w:eastAsia="仿宋_GB2312"/>
                <w:color w:val="000000"/>
                <w:sz w:val="24"/>
                <w:szCs w:val="24"/>
              </w:rPr>
            </w:pPr>
            <w:r>
              <w:rPr>
                <w:rFonts w:hint="eastAsia" w:ascii="仿宋_GB2312" w:hAnsi="宋体" w:eastAsia="仿宋_GB2312"/>
                <w:color w:val="000000"/>
                <w:sz w:val="24"/>
                <w:szCs w:val="24"/>
              </w:rPr>
              <w:t>铅、锌、锡、锂、银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37" w:type="pct"/>
            <w:shd w:val="clear" w:color="auto" w:fill="auto"/>
            <w:noWrap w:val="0"/>
            <w:vAlign w:val="center"/>
          </w:tcPr>
          <w:p>
            <w:pPr>
              <w:pStyle w:val="15"/>
              <w:spacing w:line="560" w:lineRule="exact"/>
              <w:contextualSpacing/>
              <w:rPr>
                <w:rFonts w:ascii="仿宋_GB2312" w:hAnsi="宋体" w:eastAsia="仿宋_GB2312"/>
                <w:color w:val="000000"/>
                <w:sz w:val="24"/>
                <w:szCs w:val="24"/>
              </w:rPr>
            </w:pPr>
            <w:r>
              <w:rPr>
                <w:rFonts w:ascii="仿宋_GB2312" w:hAnsi="宋体" w:eastAsia="仿宋_GB2312"/>
                <w:color w:val="000000"/>
                <w:sz w:val="24"/>
                <w:szCs w:val="24"/>
              </w:rPr>
              <w:t>3</w:t>
            </w:r>
          </w:p>
        </w:tc>
        <w:tc>
          <w:tcPr>
            <w:tcW w:w="2571" w:type="pct"/>
            <w:shd w:val="clear" w:color="auto" w:fill="auto"/>
            <w:noWrap w:val="0"/>
            <w:vAlign w:val="center"/>
          </w:tcPr>
          <w:p>
            <w:pPr>
              <w:pStyle w:val="15"/>
              <w:spacing w:line="560" w:lineRule="exact"/>
              <w:contextualSpacing/>
              <w:rPr>
                <w:rFonts w:ascii="仿宋_GB2312" w:hAnsi="宋体" w:eastAsia="仿宋_GB2312"/>
                <w:color w:val="000000"/>
                <w:sz w:val="24"/>
                <w:szCs w:val="24"/>
              </w:rPr>
            </w:pPr>
            <w:r>
              <w:rPr>
                <w:rFonts w:hint="eastAsia" w:ascii="仿宋_GB2312" w:hAnsi="宋体" w:eastAsia="仿宋_GB2312"/>
                <w:color w:val="000000"/>
                <w:sz w:val="24"/>
                <w:szCs w:val="24"/>
              </w:rPr>
              <w:t>克什克腾旗黄岗梁</w:t>
            </w:r>
            <w:r>
              <w:rPr>
                <w:rFonts w:ascii="仿宋_GB2312" w:hAnsi="宋体" w:eastAsia="仿宋_GB2312"/>
                <w:color w:val="000000"/>
                <w:sz w:val="24"/>
                <w:szCs w:val="24"/>
              </w:rPr>
              <w:t>-林西石匠山</w:t>
            </w:r>
          </w:p>
        </w:tc>
        <w:tc>
          <w:tcPr>
            <w:tcW w:w="1893" w:type="pct"/>
            <w:shd w:val="clear" w:color="auto" w:fill="auto"/>
            <w:noWrap w:val="0"/>
            <w:vAlign w:val="center"/>
          </w:tcPr>
          <w:p>
            <w:pPr>
              <w:pStyle w:val="15"/>
              <w:spacing w:line="560" w:lineRule="exact"/>
              <w:contextualSpacing/>
              <w:rPr>
                <w:rFonts w:ascii="仿宋_GB2312" w:hAnsi="宋体" w:eastAsia="仿宋_GB2312"/>
                <w:color w:val="000000"/>
                <w:sz w:val="24"/>
                <w:szCs w:val="24"/>
              </w:rPr>
            </w:pPr>
            <w:r>
              <w:rPr>
                <w:rFonts w:hint="eastAsia" w:ascii="仿宋_GB2312" w:hAnsi="宋体" w:eastAsia="仿宋_GB2312"/>
                <w:color w:val="000000"/>
                <w:sz w:val="24"/>
                <w:szCs w:val="24"/>
              </w:rPr>
              <w:t>铁、锡、钨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37" w:type="pct"/>
            <w:shd w:val="clear" w:color="auto" w:fill="auto"/>
            <w:noWrap w:val="0"/>
            <w:vAlign w:val="center"/>
          </w:tcPr>
          <w:p>
            <w:pPr>
              <w:pStyle w:val="15"/>
              <w:spacing w:line="560" w:lineRule="exact"/>
              <w:contextualSpacing/>
              <w:rPr>
                <w:rFonts w:ascii="仿宋_GB2312" w:hAnsi="宋体" w:eastAsia="仿宋_GB2312"/>
                <w:color w:val="000000"/>
                <w:sz w:val="24"/>
                <w:szCs w:val="24"/>
              </w:rPr>
            </w:pPr>
            <w:r>
              <w:rPr>
                <w:rFonts w:ascii="仿宋_GB2312" w:hAnsi="宋体" w:eastAsia="仿宋_GB2312"/>
                <w:color w:val="000000"/>
                <w:sz w:val="24"/>
                <w:szCs w:val="24"/>
              </w:rPr>
              <w:t>4</w:t>
            </w:r>
          </w:p>
        </w:tc>
        <w:tc>
          <w:tcPr>
            <w:tcW w:w="2571" w:type="pct"/>
            <w:shd w:val="clear" w:color="auto" w:fill="auto"/>
            <w:noWrap w:val="0"/>
            <w:vAlign w:val="center"/>
          </w:tcPr>
          <w:p>
            <w:pPr>
              <w:pStyle w:val="15"/>
              <w:spacing w:line="560" w:lineRule="exact"/>
              <w:contextualSpacing/>
              <w:rPr>
                <w:rFonts w:ascii="仿宋_GB2312" w:hAnsi="宋体" w:eastAsia="仿宋_GB2312"/>
                <w:color w:val="000000"/>
                <w:sz w:val="24"/>
                <w:szCs w:val="24"/>
              </w:rPr>
            </w:pPr>
            <w:r>
              <w:rPr>
                <w:rFonts w:hint="eastAsia" w:ascii="仿宋_GB2312" w:hAnsi="宋体" w:eastAsia="仿宋_GB2312"/>
                <w:color w:val="000000"/>
                <w:sz w:val="24"/>
                <w:szCs w:val="24"/>
              </w:rPr>
              <w:t>克什克腾旗油房西</w:t>
            </w:r>
            <w:r>
              <w:rPr>
                <w:rFonts w:ascii="仿宋_GB2312" w:hAnsi="宋体" w:eastAsia="仿宋_GB2312"/>
                <w:color w:val="000000"/>
                <w:sz w:val="24"/>
                <w:szCs w:val="24"/>
              </w:rPr>
              <w:t>-翁旗毕家营子</w:t>
            </w:r>
          </w:p>
        </w:tc>
        <w:tc>
          <w:tcPr>
            <w:tcW w:w="1893" w:type="pct"/>
            <w:shd w:val="clear" w:color="auto" w:fill="auto"/>
            <w:noWrap w:val="0"/>
            <w:vAlign w:val="center"/>
          </w:tcPr>
          <w:p>
            <w:pPr>
              <w:pStyle w:val="15"/>
              <w:spacing w:line="560" w:lineRule="exact"/>
              <w:contextualSpacing/>
              <w:rPr>
                <w:rFonts w:ascii="仿宋_GB2312" w:hAnsi="宋体" w:eastAsia="仿宋_GB2312"/>
                <w:color w:val="000000"/>
                <w:sz w:val="24"/>
                <w:szCs w:val="24"/>
              </w:rPr>
            </w:pPr>
            <w:r>
              <w:rPr>
                <w:rFonts w:hint="eastAsia" w:ascii="仿宋_GB2312" w:hAnsi="宋体" w:eastAsia="仿宋_GB2312"/>
                <w:color w:val="000000"/>
                <w:sz w:val="24"/>
                <w:szCs w:val="24"/>
              </w:rPr>
              <w:t>铅、锌</w:t>
            </w:r>
          </w:p>
        </w:tc>
      </w:tr>
    </w:tbl>
    <w:p>
      <w:pPr>
        <w:spacing w:line="560" w:lineRule="exact"/>
        <w:ind w:firstLine="640"/>
        <w:contextualSpacing/>
        <w:rPr>
          <w:rFonts w:ascii="仿宋_GB2312" w:eastAsia="仿宋_GB2312"/>
          <w:sz w:val="32"/>
          <w:szCs w:val="32"/>
        </w:rPr>
      </w:pPr>
      <w:r>
        <w:rPr>
          <w:rFonts w:hint="eastAsia" w:ascii="仿宋_GB2312" w:eastAsia="仿宋_GB2312"/>
          <w:sz w:val="32"/>
          <w:szCs w:val="32"/>
        </w:rPr>
        <w:t>能源资源基地为保障国家矿产资源安全供应的战略核心区域，实行统一规划、统一管理，在生产力布局、基础设施建设、资源配置、重大项目安排及相关产业政策方面给予重点支持和保障，大力推进资源规模开发和产业集聚发展，实行绿色勘查，全面推进绿色矿山建设。鼓励基地内大型矿山加大科技创新投入和人才培养，率先建设数字化矿山。严守生态管控要求，促进矿业与生态环境协调发展。进一步勘查维拉斯托矿区及其周边锂矿资源，着力提高油房西</w:t>
      </w:r>
      <w:r>
        <w:rPr>
          <w:rFonts w:ascii="仿宋_GB2312" w:eastAsia="仿宋_GB2312"/>
          <w:sz w:val="32"/>
          <w:szCs w:val="32"/>
        </w:rPr>
        <w:t>-毕家营子一带勘查程度。鼓励红岭铅锌矿、拜仁达坝银多金属矿等大型矿山企业按照市场规律开展兼并重组和资源整合，形成具有区域竞争力的大型企业集团。突破黄岗矿区伴生锡回收难点，提高双尖子山矿区、拜仁达坝矿区银回收率。</w:t>
      </w:r>
    </w:p>
    <w:p>
      <w:pPr>
        <w:pStyle w:val="5"/>
        <w:ind w:firstLine="640"/>
        <w:rPr>
          <w:szCs w:val="32"/>
        </w:rPr>
      </w:pPr>
      <w:r>
        <w:rPr>
          <w:rFonts w:hint="eastAsia"/>
          <w:szCs w:val="32"/>
        </w:rPr>
        <w:t>二、国家规划矿区</w:t>
      </w:r>
    </w:p>
    <w:p>
      <w:pPr>
        <w:spacing w:line="560" w:lineRule="exact"/>
        <w:ind w:firstLine="640"/>
        <w:contextualSpacing/>
        <w:rPr>
          <w:rFonts w:ascii="仿宋_GB2312" w:eastAsia="仿宋_GB2312"/>
          <w:sz w:val="32"/>
          <w:szCs w:val="32"/>
        </w:rPr>
      </w:pPr>
      <w:r>
        <w:rPr>
          <w:rFonts w:hint="eastAsia" w:ascii="仿宋_GB2312" w:eastAsia="仿宋_GB2312"/>
          <w:sz w:val="32"/>
          <w:szCs w:val="32"/>
        </w:rPr>
        <w:t>落实上级规划划定的国家规划矿区</w:t>
      </w:r>
      <w:r>
        <w:rPr>
          <w:rFonts w:ascii="仿宋_GB2312" w:eastAsia="仿宋_GB2312"/>
          <w:sz w:val="32"/>
          <w:szCs w:val="32"/>
        </w:rPr>
        <w:t>10处，面积5028.88平方千米，其中煤矿2处，金矿4处，铜钼矿、钼矿、铅锌矿、铁矿各1处。</w:t>
      </w:r>
    </w:p>
    <w:p>
      <w:pPr>
        <w:pStyle w:val="13"/>
        <w:spacing w:line="560" w:lineRule="exact"/>
        <w:ind w:firstLine="0" w:firstLineChars="0"/>
        <w:contextualSpacing/>
        <w:jc w:val="center"/>
        <w:rPr>
          <w:rFonts w:ascii="黑体" w:hAnsi="黑体" w:eastAsia="黑体"/>
          <w:color w:val="auto"/>
          <w:sz w:val="24"/>
          <w:szCs w:val="24"/>
        </w:rPr>
      </w:pPr>
      <w:r>
        <w:rPr>
          <w:rFonts w:hint="eastAsia" w:ascii="黑体" w:hAnsi="黑体" w:eastAsia="黑体"/>
          <w:color w:val="auto"/>
          <w:sz w:val="24"/>
          <w:szCs w:val="24"/>
        </w:rPr>
        <w:t>专栏</w:t>
      </w:r>
      <w:r>
        <w:rPr>
          <w:rFonts w:ascii="黑体" w:hAnsi="黑体" w:eastAsia="黑体"/>
          <w:color w:val="auto"/>
          <w:sz w:val="24"/>
          <w:szCs w:val="24"/>
        </w:rPr>
        <w:t xml:space="preserve">3 </w:t>
      </w:r>
      <w:r>
        <w:rPr>
          <w:rFonts w:hint="eastAsia" w:ascii="黑体" w:hAnsi="黑体" w:eastAsia="黑体"/>
          <w:color w:val="auto"/>
          <w:sz w:val="24"/>
          <w:szCs w:val="24"/>
        </w:rPr>
        <w:t>国家规划矿区</w:t>
      </w:r>
    </w:p>
    <w:tbl>
      <w:tblPr>
        <w:tblStyle w:val="10"/>
        <w:tblW w:w="472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6"/>
        <w:gridCol w:w="4927"/>
        <w:gridCol w:w="1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06" w:type="pct"/>
            <w:shd w:val="clear" w:color="auto" w:fill="auto"/>
            <w:noWrap w:val="0"/>
            <w:vAlign w:val="center"/>
          </w:tcPr>
          <w:p>
            <w:pPr>
              <w:pStyle w:val="15"/>
              <w:spacing w:line="560" w:lineRule="exact"/>
              <w:contextualSpacing/>
              <w:rPr>
                <w:rFonts w:ascii="黑体" w:hAnsi="黑体" w:eastAsia="黑体"/>
                <w:color w:val="000000"/>
                <w:sz w:val="24"/>
                <w:szCs w:val="24"/>
              </w:rPr>
            </w:pPr>
            <w:r>
              <w:rPr>
                <w:rFonts w:hint="eastAsia" w:ascii="黑体" w:hAnsi="黑体" w:eastAsia="黑体"/>
                <w:color w:val="000000"/>
                <w:sz w:val="24"/>
                <w:szCs w:val="24"/>
              </w:rPr>
              <w:t>序号</w:t>
            </w:r>
          </w:p>
        </w:tc>
        <w:tc>
          <w:tcPr>
            <w:tcW w:w="3062" w:type="pct"/>
            <w:shd w:val="clear" w:color="auto" w:fill="auto"/>
            <w:noWrap w:val="0"/>
            <w:vAlign w:val="center"/>
          </w:tcPr>
          <w:p>
            <w:pPr>
              <w:pStyle w:val="15"/>
              <w:spacing w:line="560" w:lineRule="exact"/>
              <w:contextualSpacing/>
              <w:rPr>
                <w:rFonts w:ascii="黑体" w:hAnsi="黑体" w:eastAsia="黑体"/>
                <w:color w:val="000000"/>
                <w:sz w:val="24"/>
                <w:szCs w:val="24"/>
              </w:rPr>
            </w:pPr>
            <w:r>
              <w:rPr>
                <w:rFonts w:hint="eastAsia" w:ascii="黑体" w:hAnsi="黑体" w:eastAsia="黑体"/>
                <w:color w:val="000000"/>
                <w:sz w:val="24"/>
                <w:szCs w:val="24"/>
              </w:rPr>
              <w:t>矿区名称</w:t>
            </w:r>
          </w:p>
        </w:tc>
        <w:tc>
          <w:tcPr>
            <w:tcW w:w="1232" w:type="pct"/>
            <w:shd w:val="clear" w:color="auto" w:fill="auto"/>
            <w:noWrap w:val="0"/>
            <w:vAlign w:val="center"/>
          </w:tcPr>
          <w:p>
            <w:pPr>
              <w:pStyle w:val="15"/>
              <w:spacing w:line="560" w:lineRule="exact"/>
              <w:contextualSpacing/>
              <w:rPr>
                <w:rFonts w:ascii="黑体" w:hAnsi="黑体" w:eastAsia="黑体"/>
                <w:color w:val="000000"/>
                <w:sz w:val="24"/>
                <w:szCs w:val="24"/>
              </w:rPr>
            </w:pPr>
            <w:r>
              <w:rPr>
                <w:rFonts w:hint="eastAsia" w:ascii="黑体" w:hAnsi="黑体" w:eastAsia="黑体"/>
                <w:color w:val="000000"/>
                <w:sz w:val="24"/>
                <w:szCs w:val="24"/>
              </w:rPr>
              <w:t>矿种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706" w:type="pct"/>
            <w:shd w:val="clear" w:color="auto" w:fill="auto"/>
            <w:noWrap w:val="0"/>
            <w:vAlign w:val="center"/>
          </w:tcPr>
          <w:p>
            <w:pPr>
              <w:pStyle w:val="15"/>
              <w:spacing w:line="560" w:lineRule="exact"/>
              <w:contextualSpacing/>
              <w:rPr>
                <w:rFonts w:ascii="仿宋_GB2312" w:hAnsi="宋体" w:eastAsia="仿宋_GB2312"/>
                <w:color w:val="000000"/>
                <w:sz w:val="24"/>
                <w:szCs w:val="24"/>
              </w:rPr>
            </w:pPr>
            <w:r>
              <w:rPr>
                <w:rFonts w:ascii="仿宋_GB2312" w:hAnsi="宋体" w:eastAsia="仿宋_GB2312"/>
                <w:color w:val="000000"/>
                <w:sz w:val="24"/>
                <w:szCs w:val="24"/>
              </w:rPr>
              <w:t>1</w:t>
            </w:r>
          </w:p>
        </w:tc>
        <w:tc>
          <w:tcPr>
            <w:tcW w:w="3062" w:type="pct"/>
            <w:shd w:val="clear" w:color="auto" w:fill="auto"/>
            <w:noWrap w:val="0"/>
            <w:vAlign w:val="center"/>
          </w:tcPr>
          <w:p>
            <w:pPr>
              <w:pStyle w:val="15"/>
              <w:spacing w:line="560" w:lineRule="exact"/>
              <w:contextualSpacing/>
              <w:rPr>
                <w:rFonts w:ascii="仿宋_GB2312" w:hAnsi="宋体" w:eastAsia="仿宋_GB2312"/>
                <w:color w:val="000000"/>
                <w:sz w:val="24"/>
                <w:szCs w:val="24"/>
              </w:rPr>
            </w:pPr>
            <w:r>
              <w:rPr>
                <w:rFonts w:hint="eastAsia" w:ascii="仿宋_GB2312" w:hAnsi="宋体" w:eastAsia="仿宋_GB2312"/>
                <w:color w:val="000000"/>
                <w:sz w:val="24"/>
                <w:szCs w:val="24"/>
              </w:rPr>
              <w:t>绍根</w:t>
            </w:r>
          </w:p>
        </w:tc>
        <w:tc>
          <w:tcPr>
            <w:tcW w:w="1232" w:type="pct"/>
            <w:shd w:val="clear" w:color="auto" w:fill="auto"/>
            <w:noWrap w:val="0"/>
            <w:vAlign w:val="center"/>
          </w:tcPr>
          <w:p>
            <w:pPr>
              <w:pStyle w:val="15"/>
              <w:spacing w:line="560" w:lineRule="exact"/>
              <w:contextualSpacing/>
              <w:rPr>
                <w:rFonts w:ascii="仿宋_GB2312" w:hAnsi="宋体" w:eastAsia="仿宋_GB2312"/>
                <w:color w:val="000000"/>
                <w:sz w:val="24"/>
                <w:szCs w:val="24"/>
              </w:rPr>
            </w:pPr>
            <w:r>
              <w:rPr>
                <w:rFonts w:hint="eastAsia" w:ascii="仿宋_GB2312" w:hAnsi="宋体" w:eastAsia="仿宋_GB2312"/>
                <w:color w:val="000000"/>
                <w:sz w:val="24"/>
                <w:szCs w:val="24"/>
              </w:rPr>
              <w:t>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pct"/>
            <w:shd w:val="clear" w:color="auto" w:fill="auto"/>
            <w:noWrap w:val="0"/>
            <w:vAlign w:val="center"/>
          </w:tcPr>
          <w:p>
            <w:pPr>
              <w:pStyle w:val="15"/>
              <w:spacing w:line="560" w:lineRule="exact"/>
              <w:contextualSpacing/>
              <w:rPr>
                <w:rFonts w:ascii="仿宋_GB2312" w:hAnsi="宋体" w:eastAsia="仿宋_GB2312"/>
                <w:color w:val="000000"/>
                <w:sz w:val="24"/>
                <w:szCs w:val="24"/>
              </w:rPr>
            </w:pPr>
            <w:r>
              <w:rPr>
                <w:rFonts w:ascii="仿宋_GB2312" w:hAnsi="宋体" w:eastAsia="仿宋_GB2312"/>
                <w:color w:val="000000"/>
                <w:sz w:val="24"/>
                <w:szCs w:val="24"/>
              </w:rPr>
              <w:t>2</w:t>
            </w:r>
          </w:p>
        </w:tc>
        <w:tc>
          <w:tcPr>
            <w:tcW w:w="3062" w:type="pct"/>
            <w:shd w:val="clear" w:color="auto" w:fill="auto"/>
            <w:noWrap w:val="0"/>
            <w:vAlign w:val="center"/>
          </w:tcPr>
          <w:p>
            <w:pPr>
              <w:pStyle w:val="15"/>
              <w:spacing w:line="560" w:lineRule="exact"/>
              <w:contextualSpacing/>
              <w:rPr>
                <w:rFonts w:ascii="仿宋_GB2312" w:hAnsi="宋体" w:eastAsia="仿宋_GB2312"/>
                <w:color w:val="000000"/>
                <w:sz w:val="24"/>
                <w:szCs w:val="24"/>
              </w:rPr>
            </w:pPr>
            <w:r>
              <w:rPr>
                <w:rFonts w:hint="eastAsia" w:ascii="仿宋_GB2312" w:hAnsi="宋体" w:eastAsia="仿宋_GB2312"/>
                <w:color w:val="000000"/>
                <w:sz w:val="24"/>
                <w:szCs w:val="24"/>
              </w:rPr>
              <w:t>平庄</w:t>
            </w:r>
          </w:p>
        </w:tc>
        <w:tc>
          <w:tcPr>
            <w:tcW w:w="1232" w:type="pct"/>
            <w:shd w:val="clear" w:color="auto" w:fill="auto"/>
            <w:noWrap w:val="0"/>
            <w:vAlign w:val="center"/>
          </w:tcPr>
          <w:p>
            <w:pPr>
              <w:pStyle w:val="15"/>
              <w:spacing w:line="560" w:lineRule="exact"/>
              <w:contextualSpacing/>
              <w:rPr>
                <w:rFonts w:ascii="仿宋_GB2312" w:hAnsi="宋体" w:eastAsia="仿宋_GB2312"/>
                <w:color w:val="000000"/>
                <w:sz w:val="24"/>
                <w:szCs w:val="24"/>
              </w:rPr>
            </w:pPr>
            <w:r>
              <w:rPr>
                <w:rFonts w:hint="eastAsia" w:ascii="仿宋_GB2312" w:hAnsi="宋体" w:eastAsia="仿宋_GB2312"/>
                <w:color w:val="000000"/>
                <w:sz w:val="24"/>
                <w:szCs w:val="24"/>
              </w:rPr>
              <w:t>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pct"/>
            <w:shd w:val="clear" w:color="auto" w:fill="auto"/>
            <w:noWrap w:val="0"/>
            <w:vAlign w:val="center"/>
          </w:tcPr>
          <w:p>
            <w:pPr>
              <w:pStyle w:val="15"/>
              <w:spacing w:line="560" w:lineRule="exact"/>
              <w:contextualSpacing/>
              <w:rPr>
                <w:rFonts w:ascii="仿宋_GB2312" w:hAnsi="宋体" w:eastAsia="仿宋_GB2312"/>
                <w:color w:val="000000"/>
                <w:sz w:val="24"/>
                <w:szCs w:val="24"/>
              </w:rPr>
            </w:pPr>
            <w:r>
              <w:rPr>
                <w:rFonts w:ascii="仿宋_GB2312" w:hAnsi="宋体" w:eastAsia="仿宋_GB2312"/>
                <w:color w:val="000000"/>
                <w:sz w:val="24"/>
                <w:szCs w:val="24"/>
              </w:rPr>
              <w:t>3</w:t>
            </w:r>
          </w:p>
        </w:tc>
        <w:tc>
          <w:tcPr>
            <w:tcW w:w="3062" w:type="pct"/>
            <w:shd w:val="clear" w:color="auto" w:fill="auto"/>
            <w:noWrap w:val="0"/>
            <w:vAlign w:val="center"/>
          </w:tcPr>
          <w:p>
            <w:pPr>
              <w:pStyle w:val="15"/>
              <w:spacing w:line="560" w:lineRule="exact"/>
              <w:contextualSpacing/>
              <w:rPr>
                <w:rFonts w:ascii="仿宋_GB2312" w:hAnsi="宋体" w:eastAsia="仿宋_GB2312"/>
                <w:color w:val="000000"/>
                <w:sz w:val="24"/>
                <w:szCs w:val="24"/>
              </w:rPr>
            </w:pPr>
            <w:r>
              <w:rPr>
                <w:rFonts w:hint="eastAsia" w:ascii="仿宋_GB2312" w:hAnsi="宋体" w:eastAsia="仿宋_GB2312"/>
                <w:color w:val="000000"/>
                <w:sz w:val="24"/>
                <w:szCs w:val="24"/>
              </w:rPr>
              <w:t>宁城东风</w:t>
            </w:r>
            <w:r>
              <w:rPr>
                <w:rFonts w:ascii="仿宋_GB2312" w:hAnsi="宋体" w:eastAsia="仿宋_GB2312"/>
                <w:color w:val="000000"/>
                <w:sz w:val="24"/>
                <w:szCs w:val="24"/>
              </w:rPr>
              <w:t>-七家</w:t>
            </w:r>
          </w:p>
        </w:tc>
        <w:tc>
          <w:tcPr>
            <w:tcW w:w="1232" w:type="pct"/>
            <w:shd w:val="clear" w:color="auto" w:fill="auto"/>
            <w:noWrap w:val="0"/>
            <w:vAlign w:val="center"/>
          </w:tcPr>
          <w:p>
            <w:pPr>
              <w:pStyle w:val="15"/>
              <w:spacing w:line="560" w:lineRule="exact"/>
              <w:contextualSpacing/>
              <w:rPr>
                <w:rFonts w:ascii="仿宋_GB2312" w:hAnsi="宋体" w:eastAsia="仿宋_GB2312"/>
                <w:color w:val="000000"/>
                <w:sz w:val="24"/>
                <w:szCs w:val="24"/>
              </w:rPr>
            </w:pPr>
            <w:r>
              <w:rPr>
                <w:rFonts w:hint="eastAsia" w:ascii="仿宋_GB2312" w:hAnsi="宋体" w:eastAsia="仿宋_GB2312"/>
                <w:color w:val="000000"/>
                <w:sz w:val="24"/>
                <w:szCs w:val="24"/>
              </w:rPr>
              <w:t>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pct"/>
            <w:shd w:val="clear" w:color="auto" w:fill="auto"/>
            <w:noWrap w:val="0"/>
            <w:vAlign w:val="center"/>
          </w:tcPr>
          <w:p>
            <w:pPr>
              <w:pStyle w:val="15"/>
              <w:spacing w:line="560" w:lineRule="exact"/>
              <w:contextualSpacing/>
              <w:rPr>
                <w:rFonts w:ascii="仿宋_GB2312" w:hAnsi="宋体" w:eastAsia="仿宋_GB2312"/>
                <w:color w:val="000000"/>
                <w:sz w:val="24"/>
                <w:szCs w:val="24"/>
              </w:rPr>
            </w:pPr>
            <w:r>
              <w:rPr>
                <w:rFonts w:ascii="仿宋_GB2312" w:hAnsi="宋体" w:eastAsia="仿宋_GB2312"/>
                <w:color w:val="000000"/>
                <w:sz w:val="24"/>
                <w:szCs w:val="24"/>
              </w:rPr>
              <w:t>4</w:t>
            </w:r>
          </w:p>
        </w:tc>
        <w:tc>
          <w:tcPr>
            <w:tcW w:w="3062" w:type="pct"/>
            <w:shd w:val="clear" w:color="auto" w:fill="auto"/>
            <w:noWrap w:val="0"/>
            <w:vAlign w:val="center"/>
          </w:tcPr>
          <w:p>
            <w:pPr>
              <w:pStyle w:val="15"/>
              <w:spacing w:line="560" w:lineRule="exact"/>
              <w:contextualSpacing/>
              <w:rPr>
                <w:rFonts w:ascii="仿宋_GB2312" w:hAnsi="宋体" w:eastAsia="仿宋_GB2312"/>
                <w:color w:val="000000"/>
                <w:sz w:val="24"/>
                <w:szCs w:val="24"/>
              </w:rPr>
            </w:pPr>
            <w:r>
              <w:rPr>
                <w:rFonts w:hint="eastAsia" w:ascii="仿宋_GB2312" w:hAnsi="宋体" w:eastAsia="仿宋_GB2312"/>
                <w:color w:val="000000"/>
                <w:sz w:val="24"/>
                <w:szCs w:val="24"/>
              </w:rPr>
              <w:t>阿鲁科尔沁敖仑花</w:t>
            </w:r>
            <w:r>
              <w:rPr>
                <w:rFonts w:ascii="仿宋_GB2312" w:hAnsi="宋体" w:eastAsia="仿宋_GB2312"/>
                <w:color w:val="000000"/>
                <w:sz w:val="24"/>
                <w:szCs w:val="24"/>
              </w:rPr>
              <w:t>-半拉山</w:t>
            </w:r>
          </w:p>
        </w:tc>
        <w:tc>
          <w:tcPr>
            <w:tcW w:w="1232" w:type="pct"/>
            <w:shd w:val="clear" w:color="auto" w:fill="auto"/>
            <w:noWrap w:val="0"/>
            <w:vAlign w:val="center"/>
          </w:tcPr>
          <w:p>
            <w:pPr>
              <w:pStyle w:val="15"/>
              <w:spacing w:line="560" w:lineRule="exact"/>
              <w:contextualSpacing/>
              <w:rPr>
                <w:rFonts w:ascii="仿宋_GB2312" w:hAnsi="宋体" w:eastAsia="仿宋_GB2312"/>
                <w:color w:val="000000"/>
                <w:sz w:val="24"/>
                <w:szCs w:val="24"/>
              </w:rPr>
            </w:pPr>
            <w:r>
              <w:rPr>
                <w:rFonts w:hint="eastAsia" w:ascii="仿宋_GB2312" w:hAnsi="宋体" w:eastAsia="仿宋_GB2312"/>
                <w:color w:val="000000"/>
                <w:sz w:val="24"/>
                <w:szCs w:val="24"/>
              </w:rPr>
              <w:t>铜、钼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pct"/>
            <w:shd w:val="clear" w:color="auto" w:fill="auto"/>
            <w:noWrap w:val="0"/>
            <w:vAlign w:val="center"/>
          </w:tcPr>
          <w:p>
            <w:pPr>
              <w:pStyle w:val="15"/>
              <w:spacing w:line="560" w:lineRule="exact"/>
              <w:contextualSpacing/>
              <w:rPr>
                <w:rFonts w:ascii="仿宋_GB2312" w:hAnsi="宋体" w:eastAsia="仿宋_GB2312"/>
                <w:color w:val="000000"/>
                <w:sz w:val="24"/>
                <w:szCs w:val="24"/>
              </w:rPr>
            </w:pPr>
            <w:r>
              <w:rPr>
                <w:rFonts w:ascii="仿宋_GB2312" w:hAnsi="宋体" w:eastAsia="仿宋_GB2312"/>
                <w:color w:val="000000"/>
                <w:sz w:val="24"/>
                <w:szCs w:val="24"/>
              </w:rPr>
              <w:t>5</w:t>
            </w:r>
          </w:p>
        </w:tc>
        <w:tc>
          <w:tcPr>
            <w:tcW w:w="3062" w:type="pct"/>
            <w:shd w:val="clear" w:color="auto" w:fill="auto"/>
            <w:noWrap w:val="0"/>
            <w:vAlign w:val="center"/>
          </w:tcPr>
          <w:p>
            <w:pPr>
              <w:pStyle w:val="15"/>
              <w:spacing w:line="560" w:lineRule="exact"/>
              <w:contextualSpacing/>
              <w:rPr>
                <w:rFonts w:ascii="仿宋_GB2312" w:hAnsi="宋体" w:eastAsia="仿宋_GB2312"/>
                <w:color w:val="000000"/>
                <w:sz w:val="24"/>
                <w:szCs w:val="24"/>
              </w:rPr>
            </w:pPr>
            <w:r>
              <w:rPr>
                <w:rFonts w:hint="eastAsia" w:ascii="仿宋_GB2312" w:hAnsi="宋体" w:eastAsia="仿宋_GB2312"/>
                <w:color w:val="000000"/>
                <w:sz w:val="24"/>
                <w:szCs w:val="24"/>
              </w:rPr>
              <w:t>巴林右旗代黄沟</w:t>
            </w:r>
            <w:r>
              <w:rPr>
                <w:rFonts w:ascii="仿宋_GB2312" w:hAnsi="宋体" w:eastAsia="仿宋_GB2312"/>
                <w:color w:val="000000"/>
                <w:sz w:val="24"/>
                <w:szCs w:val="24"/>
              </w:rPr>
              <w:t>-巴林左旗东山</w:t>
            </w:r>
          </w:p>
        </w:tc>
        <w:tc>
          <w:tcPr>
            <w:tcW w:w="1232" w:type="pct"/>
            <w:shd w:val="clear" w:color="auto" w:fill="auto"/>
            <w:noWrap w:val="0"/>
            <w:vAlign w:val="center"/>
          </w:tcPr>
          <w:p>
            <w:pPr>
              <w:pStyle w:val="15"/>
              <w:spacing w:line="560" w:lineRule="exact"/>
              <w:contextualSpacing/>
              <w:rPr>
                <w:rFonts w:ascii="仿宋_GB2312" w:hAnsi="宋体" w:eastAsia="仿宋_GB2312"/>
                <w:color w:val="000000"/>
                <w:sz w:val="24"/>
                <w:szCs w:val="24"/>
              </w:rPr>
            </w:pPr>
            <w:r>
              <w:rPr>
                <w:rFonts w:hint="eastAsia" w:ascii="仿宋_GB2312" w:hAnsi="宋体" w:eastAsia="仿宋_GB2312"/>
                <w:color w:val="000000"/>
                <w:sz w:val="24"/>
                <w:szCs w:val="24"/>
              </w:rPr>
              <w:t>铅、锌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pct"/>
            <w:shd w:val="clear" w:color="auto" w:fill="auto"/>
            <w:noWrap w:val="0"/>
            <w:vAlign w:val="center"/>
          </w:tcPr>
          <w:p>
            <w:pPr>
              <w:pStyle w:val="15"/>
              <w:spacing w:line="560" w:lineRule="exact"/>
              <w:contextualSpacing/>
              <w:rPr>
                <w:rFonts w:ascii="仿宋_GB2312" w:hAnsi="宋体" w:eastAsia="仿宋_GB2312"/>
                <w:color w:val="000000"/>
                <w:sz w:val="24"/>
                <w:szCs w:val="24"/>
              </w:rPr>
            </w:pPr>
            <w:r>
              <w:rPr>
                <w:rFonts w:ascii="仿宋_GB2312" w:hAnsi="宋体" w:eastAsia="仿宋_GB2312"/>
                <w:color w:val="000000"/>
                <w:sz w:val="24"/>
                <w:szCs w:val="24"/>
              </w:rPr>
              <w:t>6</w:t>
            </w:r>
          </w:p>
        </w:tc>
        <w:tc>
          <w:tcPr>
            <w:tcW w:w="3062" w:type="pct"/>
            <w:shd w:val="clear" w:color="auto" w:fill="auto"/>
            <w:noWrap w:val="0"/>
            <w:vAlign w:val="center"/>
          </w:tcPr>
          <w:p>
            <w:pPr>
              <w:pStyle w:val="15"/>
              <w:spacing w:line="560" w:lineRule="exact"/>
              <w:contextualSpacing/>
              <w:rPr>
                <w:rFonts w:ascii="仿宋_GB2312" w:hAnsi="宋体" w:eastAsia="仿宋_GB2312"/>
                <w:color w:val="000000"/>
                <w:sz w:val="24"/>
                <w:szCs w:val="24"/>
              </w:rPr>
            </w:pPr>
            <w:r>
              <w:rPr>
                <w:rFonts w:hint="eastAsia" w:ascii="仿宋_GB2312" w:hAnsi="宋体" w:eastAsia="仿宋_GB2312"/>
                <w:color w:val="000000"/>
                <w:sz w:val="24"/>
                <w:szCs w:val="24"/>
              </w:rPr>
              <w:t>松山车户沟</w:t>
            </w:r>
            <w:r>
              <w:rPr>
                <w:rFonts w:ascii="仿宋_GB2312" w:hAnsi="宋体" w:eastAsia="仿宋_GB2312"/>
                <w:color w:val="000000"/>
                <w:sz w:val="24"/>
                <w:szCs w:val="24"/>
              </w:rPr>
              <w:t>-碾子沟</w:t>
            </w:r>
          </w:p>
        </w:tc>
        <w:tc>
          <w:tcPr>
            <w:tcW w:w="1232" w:type="pct"/>
            <w:shd w:val="clear" w:color="auto" w:fill="auto"/>
            <w:noWrap w:val="0"/>
            <w:vAlign w:val="center"/>
          </w:tcPr>
          <w:p>
            <w:pPr>
              <w:pStyle w:val="15"/>
              <w:spacing w:line="560" w:lineRule="exact"/>
              <w:contextualSpacing/>
              <w:rPr>
                <w:rFonts w:ascii="仿宋_GB2312" w:hAnsi="宋体" w:eastAsia="仿宋_GB2312"/>
                <w:color w:val="000000"/>
                <w:sz w:val="24"/>
                <w:szCs w:val="24"/>
              </w:rPr>
            </w:pPr>
            <w:r>
              <w:rPr>
                <w:rFonts w:hint="eastAsia" w:ascii="仿宋_GB2312" w:hAnsi="宋体" w:eastAsia="仿宋_GB2312"/>
                <w:color w:val="000000"/>
                <w:sz w:val="24"/>
                <w:szCs w:val="24"/>
              </w:rPr>
              <w:t>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706" w:type="pct"/>
            <w:shd w:val="clear" w:color="auto" w:fill="auto"/>
            <w:noWrap w:val="0"/>
            <w:vAlign w:val="center"/>
          </w:tcPr>
          <w:p>
            <w:pPr>
              <w:pStyle w:val="15"/>
              <w:spacing w:line="560" w:lineRule="exact"/>
              <w:contextualSpacing/>
              <w:rPr>
                <w:rFonts w:ascii="仿宋_GB2312" w:hAnsi="宋体" w:eastAsia="仿宋_GB2312"/>
                <w:color w:val="000000"/>
                <w:sz w:val="24"/>
                <w:szCs w:val="24"/>
              </w:rPr>
            </w:pPr>
            <w:r>
              <w:rPr>
                <w:rFonts w:ascii="仿宋_GB2312" w:hAnsi="宋体" w:eastAsia="仿宋_GB2312"/>
                <w:color w:val="000000"/>
                <w:sz w:val="24"/>
                <w:szCs w:val="24"/>
              </w:rPr>
              <w:t>7</w:t>
            </w:r>
          </w:p>
        </w:tc>
        <w:tc>
          <w:tcPr>
            <w:tcW w:w="3062" w:type="pct"/>
            <w:shd w:val="clear" w:color="auto" w:fill="auto"/>
            <w:noWrap w:val="0"/>
            <w:vAlign w:val="center"/>
          </w:tcPr>
          <w:p>
            <w:pPr>
              <w:pStyle w:val="15"/>
              <w:spacing w:line="560" w:lineRule="exact"/>
              <w:contextualSpacing/>
              <w:rPr>
                <w:rFonts w:ascii="仿宋_GB2312" w:hAnsi="宋体" w:eastAsia="仿宋_GB2312"/>
                <w:color w:val="000000"/>
                <w:sz w:val="24"/>
                <w:szCs w:val="24"/>
              </w:rPr>
            </w:pPr>
            <w:r>
              <w:rPr>
                <w:rFonts w:hint="eastAsia" w:ascii="仿宋_GB2312" w:hAnsi="宋体" w:eastAsia="仿宋_GB2312"/>
                <w:color w:val="000000"/>
                <w:sz w:val="24"/>
                <w:szCs w:val="24"/>
              </w:rPr>
              <w:t>七家</w:t>
            </w:r>
            <w:r>
              <w:rPr>
                <w:rFonts w:ascii="仿宋_GB2312" w:hAnsi="宋体" w:eastAsia="仿宋_GB2312"/>
                <w:color w:val="000000"/>
                <w:sz w:val="24"/>
                <w:szCs w:val="24"/>
              </w:rPr>
              <w:t>-岱王山</w:t>
            </w:r>
          </w:p>
        </w:tc>
        <w:tc>
          <w:tcPr>
            <w:tcW w:w="1232" w:type="pct"/>
            <w:shd w:val="clear" w:color="auto" w:fill="auto"/>
            <w:noWrap w:val="0"/>
            <w:vAlign w:val="center"/>
          </w:tcPr>
          <w:p>
            <w:pPr>
              <w:pStyle w:val="15"/>
              <w:spacing w:line="560" w:lineRule="exact"/>
              <w:contextualSpacing/>
              <w:rPr>
                <w:rFonts w:ascii="仿宋_GB2312" w:hAnsi="宋体" w:eastAsia="仿宋_GB2312"/>
                <w:color w:val="000000"/>
                <w:sz w:val="24"/>
                <w:szCs w:val="24"/>
              </w:rPr>
            </w:pPr>
            <w:r>
              <w:rPr>
                <w:rFonts w:hint="eastAsia" w:ascii="仿宋_GB2312" w:hAnsi="宋体" w:eastAsia="仿宋_GB2312"/>
                <w:color w:val="000000"/>
                <w:sz w:val="24"/>
                <w:szCs w:val="24"/>
              </w:rPr>
              <w:t>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706" w:type="pct"/>
            <w:shd w:val="clear" w:color="auto" w:fill="auto"/>
            <w:noWrap w:val="0"/>
            <w:vAlign w:val="center"/>
          </w:tcPr>
          <w:p>
            <w:pPr>
              <w:pStyle w:val="15"/>
              <w:spacing w:line="560" w:lineRule="exact"/>
              <w:contextualSpacing/>
              <w:rPr>
                <w:rFonts w:ascii="仿宋_GB2312" w:hAnsi="宋体" w:eastAsia="仿宋_GB2312"/>
                <w:color w:val="000000"/>
                <w:sz w:val="24"/>
                <w:szCs w:val="24"/>
              </w:rPr>
            </w:pPr>
            <w:r>
              <w:rPr>
                <w:rFonts w:ascii="仿宋_GB2312" w:hAnsi="宋体" w:eastAsia="仿宋_GB2312"/>
                <w:color w:val="000000"/>
                <w:sz w:val="24"/>
                <w:szCs w:val="24"/>
              </w:rPr>
              <w:t>8</w:t>
            </w:r>
          </w:p>
        </w:tc>
        <w:tc>
          <w:tcPr>
            <w:tcW w:w="3062" w:type="pct"/>
            <w:shd w:val="clear" w:color="auto" w:fill="auto"/>
            <w:noWrap w:val="0"/>
            <w:vAlign w:val="center"/>
          </w:tcPr>
          <w:p>
            <w:pPr>
              <w:pStyle w:val="15"/>
              <w:spacing w:line="560" w:lineRule="exact"/>
              <w:contextualSpacing/>
              <w:rPr>
                <w:rFonts w:ascii="仿宋_GB2312" w:hAnsi="宋体" w:eastAsia="仿宋_GB2312"/>
                <w:color w:val="000000"/>
                <w:sz w:val="24"/>
                <w:szCs w:val="24"/>
              </w:rPr>
            </w:pPr>
            <w:r>
              <w:rPr>
                <w:rFonts w:hint="eastAsia" w:ascii="仿宋_GB2312" w:hAnsi="宋体" w:eastAsia="仿宋_GB2312"/>
                <w:color w:val="000000"/>
                <w:sz w:val="24"/>
                <w:szCs w:val="24"/>
              </w:rPr>
              <w:t>柴胡栏子</w:t>
            </w:r>
            <w:r>
              <w:rPr>
                <w:rFonts w:ascii="仿宋_GB2312" w:hAnsi="宋体" w:eastAsia="仿宋_GB2312"/>
                <w:color w:val="000000"/>
                <w:sz w:val="24"/>
                <w:szCs w:val="24"/>
              </w:rPr>
              <w:t>-莲花山</w:t>
            </w:r>
          </w:p>
        </w:tc>
        <w:tc>
          <w:tcPr>
            <w:tcW w:w="1232" w:type="pct"/>
            <w:shd w:val="clear" w:color="auto" w:fill="auto"/>
            <w:noWrap w:val="0"/>
            <w:vAlign w:val="center"/>
          </w:tcPr>
          <w:p>
            <w:pPr>
              <w:pStyle w:val="15"/>
              <w:spacing w:line="560" w:lineRule="exact"/>
              <w:contextualSpacing/>
              <w:rPr>
                <w:rFonts w:ascii="仿宋_GB2312" w:hAnsi="宋体" w:eastAsia="仿宋_GB2312"/>
                <w:color w:val="000000"/>
                <w:sz w:val="24"/>
                <w:szCs w:val="24"/>
              </w:rPr>
            </w:pPr>
            <w:r>
              <w:rPr>
                <w:rFonts w:hint="eastAsia" w:ascii="仿宋_GB2312" w:hAnsi="宋体" w:eastAsia="仿宋_GB2312"/>
                <w:color w:val="000000"/>
                <w:sz w:val="24"/>
                <w:szCs w:val="24"/>
              </w:rPr>
              <w:t>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pct"/>
            <w:shd w:val="clear" w:color="auto" w:fill="auto"/>
            <w:noWrap w:val="0"/>
            <w:vAlign w:val="center"/>
          </w:tcPr>
          <w:p>
            <w:pPr>
              <w:pStyle w:val="15"/>
              <w:spacing w:line="560" w:lineRule="exact"/>
              <w:contextualSpacing/>
              <w:rPr>
                <w:rFonts w:ascii="仿宋_GB2312" w:hAnsi="宋体" w:eastAsia="仿宋_GB2312"/>
                <w:color w:val="000000"/>
                <w:sz w:val="24"/>
                <w:szCs w:val="24"/>
              </w:rPr>
            </w:pPr>
            <w:r>
              <w:rPr>
                <w:rFonts w:ascii="仿宋_GB2312" w:hAnsi="宋体" w:eastAsia="仿宋_GB2312"/>
                <w:color w:val="000000"/>
                <w:sz w:val="24"/>
                <w:szCs w:val="24"/>
              </w:rPr>
              <w:t>9</w:t>
            </w:r>
          </w:p>
        </w:tc>
        <w:tc>
          <w:tcPr>
            <w:tcW w:w="3062" w:type="pct"/>
            <w:shd w:val="clear" w:color="auto" w:fill="auto"/>
            <w:noWrap w:val="0"/>
            <w:vAlign w:val="center"/>
          </w:tcPr>
          <w:p>
            <w:pPr>
              <w:pStyle w:val="15"/>
              <w:spacing w:line="560" w:lineRule="exact"/>
              <w:contextualSpacing/>
              <w:rPr>
                <w:rFonts w:ascii="仿宋_GB2312" w:hAnsi="宋体" w:eastAsia="仿宋_GB2312"/>
                <w:color w:val="000000"/>
                <w:sz w:val="24"/>
                <w:szCs w:val="24"/>
              </w:rPr>
            </w:pPr>
            <w:r>
              <w:rPr>
                <w:rFonts w:hint="eastAsia" w:ascii="仿宋_GB2312" w:hAnsi="宋体" w:eastAsia="仿宋_GB2312"/>
                <w:color w:val="000000"/>
                <w:sz w:val="24"/>
                <w:szCs w:val="24"/>
              </w:rPr>
              <w:t>水泉沟</w:t>
            </w:r>
            <w:r>
              <w:rPr>
                <w:rFonts w:ascii="仿宋_GB2312" w:hAnsi="宋体" w:eastAsia="仿宋_GB2312"/>
                <w:color w:val="000000"/>
                <w:sz w:val="24"/>
                <w:szCs w:val="24"/>
              </w:rPr>
              <w:t>-金蟾山</w:t>
            </w:r>
          </w:p>
        </w:tc>
        <w:tc>
          <w:tcPr>
            <w:tcW w:w="1232" w:type="pct"/>
            <w:shd w:val="clear" w:color="auto" w:fill="auto"/>
            <w:noWrap w:val="0"/>
            <w:vAlign w:val="center"/>
          </w:tcPr>
          <w:p>
            <w:pPr>
              <w:pStyle w:val="15"/>
              <w:spacing w:line="560" w:lineRule="exact"/>
              <w:contextualSpacing/>
              <w:rPr>
                <w:rFonts w:ascii="仿宋_GB2312" w:hAnsi="宋体" w:eastAsia="仿宋_GB2312"/>
                <w:color w:val="000000"/>
                <w:sz w:val="24"/>
                <w:szCs w:val="24"/>
              </w:rPr>
            </w:pPr>
            <w:r>
              <w:rPr>
                <w:rFonts w:hint="eastAsia" w:ascii="仿宋_GB2312" w:hAnsi="宋体" w:eastAsia="仿宋_GB2312"/>
                <w:color w:val="000000"/>
                <w:sz w:val="24"/>
                <w:szCs w:val="24"/>
              </w:rPr>
              <w:t>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pct"/>
            <w:shd w:val="clear" w:color="auto" w:fill="auto"/>
            <w:noWrap w:val="0"/>
            <w:vAlign w:val="center"/>
          </w:tcPr>
          <w:p>
            <w:pPr>
              <w:pStyle w:val="15"/>
              <w:spacing w:line="560" w:lineRule="exact"/>
              <w:contextualSpacing/>
              <w:rPr>
                <w:rFonts w:ascii="仿宋_GB2312" w:hAnsi="宋体" w:eastAsia="仿宋_GB2312"/>
                <w:color w:val="000000"/>
                <w:sz w:val="24"/>
                <w:szCs w:val="24"/>
              </w:rPr>
            </w:pPr>
            <w:r>
              <w:rPr>
                <w:rFonts w:ascii="仿宋_GB2312" w:hAnsi="宋体" w:eastAsia="仿宋_GB2312"/>
                <w:color w:val="000000"/>
                <w:sz w:val="24"/>
                <w:szCs w:val="24"/>
              </w:rPr>
              <w:t>10</w:t>
            </w:r>
          </w:p>
        </w:tc>
        <w:tc>
          <w:tcPr>
            <w:tcW w:w="3062" w:type="pct"/>
            <w:shd w:val="clear" w:color="auto" w:fill="auto"/>
            <w:noWrap w:val="0"/>
            <w:vAlign w:val="center"/>
          </w:tcPr>
          <w:p>
            <w:pPr>
              <w:pStyle w:val="15"/>
              <w:spacing w:line="560" w:lineRule="exact"/>
              <w:contextualSpacing/>
              <w:rPr>
                <w:rFonts w:ascii="仿宋_GB2312" w:hAnsi="宋体" w:eastAsia="仿宋_GB2312"/>
                <w:color w:val="000000"/>
                <w:sz w:val="24"/>
                <w:szCs w:val="24"/>
              </w:rPr>
            </w:pPr>
            <w:r>
              <w:rPr>
                <w:rFonts w:hint="eastAsia" w:ascii="仿宋_GB2312" w:hAnsi="宋体" w:eastAsia="仿宋_GB2312"/>
                <w:color w:val="000000"/>
                <w:sz w:val="24"/>
                <w:szCs w:val="24"/>
              </w:rPr>
              <w:t>金厂沟梁</w:t>
            </w:r>
            <w:r>
              <w:rPr>
                <w:rFonts w:ascii="仿宋_GB2312" w:hAnsi="宋体" w:eastAsia="仿宋_GB2312"/>
                <w:color w:val="000000"/>
                <w:sz w:val="24"/>
                <w:szCs w:val="24"/>
              </w:rPr>
              <w:t>-二道沟</w:t>
            </w:r>
          </w:p>
        </w:tc>
        <w:tc>
          <w:tcPr>
            <w:tcW w:w="1232" w:type="pct"/>
            <w:shd w:val="clear" w:color="auto" w:fill="auto"/>
            <w:noWrap w:val="0"/>
            <w:vAlign w:val="center"/>
          </w:tcPr>
          <w:p>
            <w:pPr>
              <w:pStyle w:val="15"/>
              <w:spacing w:line="560" w:lineRule="exact"/>
              <w:contextualSpacing/>
              <w:rPr>
                <w:rFonts w:ascii="仿宋_GB2312" w:hAnsi="宋体" w:eastAsia="仿宋_GB2312"/>
                <w:color w:val="000000"/>
                <w:sz w:val="24"/>
                <w:szCs w:val="24"/>
              </w:rPr>
            </w:pPr>
            <w:r>
              <w:rPr>
                <w:rFonts w:hint="eastAsia" w:ascii="仿宋_GB2312" w:hAnsi="宋体" w:eastAsia="仿宋_GB2312"/>
                <w:color w:val="000000"/>
                <w:sz w:val="24"/>
                <w:szCs w:val="24"/>
              </w:rPr>
              <w:t>金</w:t>
            </w:r>
          </w:p>
        </w:tc>
      </w:tr>
    </w:tbl>
    <w:p>
      <w:pPr>
        <w:spacing w:line="560" w:lineRule="exact"/>
        <w:ind w:firstLine="640"/>
        <w:contextualSpacing/>
        <w:rPr>
          <w:rFonts w:ascii="仿宋_GB2312" w:eastAsia="仿宋_GB2312"/>
          <w:sz w:val="32"/>
          <w:szCs w:val="32"/>
        </w:rPr>
      </w:pPr>
      <w:r>
        <w:rPr>
          <w:rFonts w:hint="eastAsia" w:ascii="仿宋_GB2312" w:eastAsia="仿宋_GB2312"/>
          <w:sz w:val="32"/>
          <w:szCs w:val="32"/>
        </w:rPr>
        <w:t>国家规划矿区统筹勘查开发，优化资源配置，积极争取财政投入，推进金、铁、煤等战略性矿种勘查，鼓励社会资金投入，提高勘查精度及储量级别。提高矿山建设门槛，除富铁、铜、金、地热、矿泉水外不再新建小型以上矿山。推动规划区内煤炭、铁、铅、锌、金等资源的规模开发集约利用，重点增加钼、富铁等资源的储备，支撑能源资源基地建设。提高平庄、绍根规划区内煤炭资源开采技术和装备水平，保证规范化开采。</w:t>
      </w:r>
    </w:p>
    <w:p>
      <w:pPr>
        <w:pStyle w:val="3"/>
      </w:pPr>
      <w:bookmarkStart w:id="17" w:name="_Toc106610321"/>
      <w:r>
        <w:rPr>
          <w:rFonts w:hint="eastAsia"/>
        </w:rPr>
        <w:t>第三节</w:t>
      </w:r>
      <w:r>
        <w:t xml:space="preserve"> </w:t>
      </w:r>
      <w:r>
        <w:rPr>
          <w:rFonts w:hint="eastAsia"/>
        </w:rPr>
        <w:t>矿产资源勘查开发规划分区</w:t>
      </w:r>
      <w:bookmarkEnd w:id="17"/>
    </w:p>
    <w:p>
      <w:pPr>
        <w:spacing w:line="560" w:lineRule="exact"/>
        <w:ind w:firstLine="640"/>
        <w:contextualSpacing/>
        <w:rPr>
          <w:rFonts w:ascii="仿宋_GB2312" w:eastAsia="仿宋_GB2312"/>
          <w:sz w:val="32"/>
          <w:szCs w:val="32"/>
        </w:rPr>
      </w:pPr>
      <w:r>
        <w:rPr>
          <w:rFonts w:hint="eastAsia" w:ascii="仿宋_GB2312" w:eastAsia="仿宋_GB2312"/>
          <w:sz w:val="32"/>
          <w:szCs w:val="32"/>
        </w:rPr>
        <w:t>赤峰市铅、锌、铜、金、银、锂等优势矿种勘查开采主要按照国家、自治区划定重点勘查开采区管理，在矿产资源分布集中地区补充划定市级重点勘查开采区。</w:t>
      </w:r>
    </w:p>
    <w:p>
      <w:pPr>
        <w:pStyle w:val="5"/>
        <w:ind w:firstLine="640"/>
        <w:rPr>
          <w:szCs w:val="32"/>
        </w:rPr>
      </w:pPr>
      <w:r>
        <w:rPr>
          <w:rFonts w:hint="eastAsia"/>
          <w:szCs w:val="32"/>
        </w:rPr>
        <w:t>一、重点勘查开采区</w:t>
      </w:r>
    </w:p>
    <w:p>
      <w:pPr>
        <w:spacing w:line="560" w:lineRule="exact"/>
        <w:ind w:firstLine="640"/>
        <w:contextualSpacing/>
        <w:rPr>
          <w:rFonts w:ascii="仿宋_GB2312" w:eastAsia="仿宋_GB2312"/>
          <w:sz w:val="32"/>
          <w:szCs w:val="32"/>
        </w:rPr>
      </w:pPr>
      <w:r>
        <w:rPr>
          <w:rFonts w:hint="eastAsia" w:ascii="仿宋_GB2312" w:eastAsia="仿宋_GB2312"/>
          <w:sz w:val="32"/>
          <w:szCs w:val="32"/>
        </w:rPr>
        <w:t>落实上级划定的重点勘查开采区</w:t>
      </w:r>
      <w:r>
        <w:rPr>
          <w:rFonts w:ascii="仿宋_GB2312" w:eastAsia="仿宋_GB2312"/>
          <w:sz w:val="32"/>
          <w:szCs w:val="32"/>
        </w:rPr>
        <w:t>3处，面积7588.72平方千米，勘查矿种以铅、锌、铜、金、银、锂、铷、铍等为主。</w:t>
      </w:r>
    </w:p>
    <w:p>
      <w:pPr>
        <w:spacing w:line="560" w:lineRule="exact"/>
        <w:ind w:firstLine="640"/>
        <w:contextualSpacing/>
        <w:rPr>
          <w:rFonts w:ascii="仿宋_GB2312" w:eastAsia="仿宋_GB2312"/>
          <w:sz w:val="32"/>
          <w:szCs w:val="32"/>
        </w:rPr>
      </w:pPr>
      <w:r>
        <w:rPr>
          <w:rFonts w:hint="eastAsia" w:ascii="仿宋_GB2312" w:eastAsia="仿宋_GB2312"/>
          <w:sz w:val="32"/>
          <w:szCs w:val="32"/>
        </w:rPr>
        <w:t>根据赤峰市矿产资源禀赋特点及资源需求，划定市级重点勘查开采区</w:t>
      </w:r>
      <w:r>
        <w:rPr>
          <w:rFonts w:ascii="仿宋_GB2312" w:eastAsia="仿宋_GB2312"/>
          <w:sz w:val="32"/>
          <w:szCs w:val="32"/>
        </w:rPr>
        <w:t>10个，以促进勘查开发的科学安排和聚集发展。重点勘查开采区总面积10583.54</w:t>
      </w:r>
      <w:r>
        <w:rPr>
          <w:rFonts w:hint="eastAsia" w:ascii="仿宋_GB2312" w:eastAsia="仿宋_GB2312"/>
          <w:sz w:val="32"/>
          <w:szCs w:val="32"/>
        </w:rPr>
        <w:t>平方千米，矿种以地热、铅、锌、银、饰面石材为主。</w:t>
      </w:r>
    </w:p>
    <w:p>
      <w:pPr>
        <w:spacing w:line="560" w:lineRule="exact"/>
        <w:ind w:firstLine="560"/>
        <w:contextualSpacing/>
        <w:jc w:val="center"/>
        <w:rPr>
          <w:rFonts w:ascii="黑体" w:hAnsi="黑体" w:eastAsia="黑体"/>
          <w:sz w:val="24"/>
          <w:szCs w:val="24"/>
        </w:rPr>
      </w:pPr>
      <w:r>
        <w:rPr>
          <w:rFonts w:hint="eastAsia" w:ascii="黑体" w:hAnsi="黑体" w:eastAsia="黑体"/>
          <w:sz w:val="24"/>
          <w:szCs w:val="24"/>
        </w:rPr>
        <w:t>专栏</w:t>
      </w:r>
      <w:r>
        <w:rPr>
          <w:rFonts w:ascii="黑体" w:hAnsi="黑体" w:eastAsia="黑体"/>
          <w:sz w:val="24"/>
          <w:szCs w:val="24"/>
        </w:rPr>
        <w:t xml:space="preserve">4 </w:t>
      </w:r>
      <w:r>
        <w:rPr>
          <w:rFonts w:hint="eastAsia" w:ascii="黑体" w:hAnsi="黑体" w:eastAsia="黑体"/>
          <w:sz w:val="24"/>
          <w:szCs w:val="24"/>
        </w:rPr>
        <w:t>重点勘查开采区</w:t>
      </w:r>
    </w:p>
    <w:tbl>
      <w:tblPr>
        <w:tblStyle w:val="10"/>
        <w:tblW w:w="95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4641"/>
        <w:gridCol w:w="2693"/>
        <w:gridCol w:w="1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817" w:type="dxa"/>
            <w:shd w:val="clear" w:color="auto" w:fill="auto"/>
            <w:noWrap w:val="0"/>
            <w:vAlign w:val="center"/>
          </w:tcPr>
          <w:p>
            <w:pPr>
              <w:pStyle w:val="15"/>
              <w:spacing w:line="560" w:lineRule="exact"/>
              <w:contextualSpacing/>
              <w:rPr>
                <w:rFonts w:ascii="黑体" w:hAnsi="黑体" w:eastAsia="黑体"/>
                <w:color w:val="000000"/>
                <w:sz w:val="24"/>
                <w:szCs w:val="24"/>
              </w:rPr>
            </w:pPr>
            <w:r>
              <w:rPr>
                <w:rFonts w:hint="eastAsia" w:ascii="黑体" w:hAnsi="黑体" w:eastAsia="黑体"/>
                <w:color w:val="000000"/>
                <w:sz w:val="24"/>
                <w:szCs w:val="24"/>
              </w:rPr>
              <w:t>序号</w:t>
            </w:r>
          </w:p>
        </w:tc>
        <w:tc>
          <w:tcPr>
            <w:tcW w:w="4641" w:type="dxa"/>
            <w:shd w:val="clear" w:color="auto" w:fill="auto"/>
            <w:noWrap w:val="0"/>
            <w:vAlign w:val="center"/>
          </w:tcPr>
          <w:p>
            <w:pPr>
              <w:pStyle w:val="15"/>
              <w:spacing w:line="560" w:lineRule="exact"/>
              <w:contextualSpacing/>
              <w:rPr>
                <w:rFonts w:ascii="黑体" w:hAnsi="黑体" w:eastAsia="黑体"/>
                <w:color w:val="000000"/>
                <w:sz w:val="24"/>
                <w:szCs w:val="24"/>
              </w:rPr>
            </w:pPr>
            <w:r>
              <w:rPr>
                <w:rFonts w:hint="eastAsia" w:ascii="黑体" w:hAnsi="黑体" w:eastAsia="黑体"/>
                <w:color w:val="000000"/>
                <w:sz w:val="24"/>
                <w:szCs w:val="24"/>
              </w:rPr>
              <w:t>名称</w:t>
            </w:r>
          </w:p>
        </w:tc>
        <w:tc>
          <w:tcPr>
            <w:tcW w:w="2693" w:type="dxa"/>
            <w:shd w:val="clear" w:color="auto" w:fill="auto"/>
            <w:noWrap w:val="0"/>
            <w:vAlign w:val="center"/>
          </w:tcPr>
          <w:p>
            <w:pPr>
              <w:pStyle w:val="15"/>
              <w:spacing w:line="560" w:lineRule="exact"/>
              <w:contextualSpacing/>
              <w:rPr>
                <w:rFonts w:ascii="黑体" w:hAnsi="黑体" w:eastAsia="黑体"/>
                <w:color w:val="000000"/>
                <w:sz w:val="24"/>
                <w:szCs w:val="24"/>
              </w:rPr>
            </w:pPr>
            <w:r>
              <w:rPr>
                <w:rFonts w:hint="eastAsia" w:ascii="黑体" w:hAnsi="黑体" w:eastAsia="黑体"/>
                <w:color w:val="000000"/>
                <w:sz w:val="24"/>
                <w:szCs w:val="24"/>
              </w:rPr>
              <w:t>矿种</w:t>
            </w:r>
          </w:p>
        </w:tc>
        <w:tc>
          <w:tcPr>
            <w:tcW w:w="1430" w:type="dxa"/>
            <w:shd w:val="clear" w:color="auto" w:fill="auto"/>
            <w:noWrap w:val="0"/>
            <w:vAlign w:val="center"/>
          </w:tcPr>
          <w:p>
            <w:pPr>
              <w:pStyle w:val="15"/>
              <w:spacing w:line="560" w:lineRule="exact"/>
              <w:contextualSpacing/>
              <w:rPr>
                <w:rFonts w:ascii="黑体" w:hAnsi="黑体" w:eastAsia="黑体"/>
                <w:color w:val="000000"/>
                <w:sz w:val="24"/>
                <w:szCs w:val="24"/>
              </w:rPr>
            </w:pPr>
            <w:r>
              <w:rPr>
                <w:rFonts w:hint="eastAsia" w:ascii="黑体" w:hAnsi="黑体" w:eastAsia="黑体"/>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817" w:type="dxa"/>
            <w:shd w:val="clear" w:color="auto" w:fill="auto"/>
            <w:noWrap w:val="0"/>
            <w:vAlign w:val="center"/>
          </w:tcPr>
          <w:p>
            <w:pPr>
              <w:pStyle w:val="15"/>
              <w:spacing w:line="560" w:lineRule="exact"/>
              <w:contextualSpacing/>
              <w:rPr>
                <w:rFonts w:ascii="仿宋_GB2312" w:eastAsia="仿宋_GB2312"/>
                <w:color w:val="000000"/>
                <w:sz w:val="24"/>
                <w:szCs w:val="24"/>
              </w:rPr>
            </w:pPr>
            <w:r>
              <w:rPr>
                <w:rFonts w:ascii="仿宋_GB2312" w:eastAsia="仿宋_GB2312"/>
                <w:color w:val="000000"/>
                <w:sz w:val="24"/>
                <w:szCs w:val="24"/>
              </w:rPr>
              <w:t>1</w:t>
            </w:r>
          </w:p>
        </w:tc>
        <w:tc>
          <w:tcPr>
            <w:tcW w:w="4641" w:type="dxa"/>
            <w:shd w:val="clear" w:color="auto" w:fill="auto"/>
            <w:noWrap w:val="0"/>
            <w:vAlign w:val="center"/>
          </w:tcPr>
          <w:p>
            <w:pPr>
              <w:pStyle w:val="15"/>
              <w:spacing w:line="360" w:lineRule="exact"/>
              <w:contextualSpacing/>
              <w:rPr>
                <w:rFonts w:ascii="仿宋_GB2312" w:hAnsi="宋体" w:eastAsia="仿宋_GB2312" w:cs="宋体"/>
                <w:color w:val="000000"/>
                <w:sz w:val="24"/>
                <w:szCs w:val="24"/>
              </w:rPr>
            </w:pPr>
            <w:r>
              <w:rPr>
                <w:rFonts w:hint="eastAsia" w:ascii="仿宋_GB2312" w:eastAsia="仿宋_GB2312"/>
                <w:color w:val="000000"/>
                <w:sz w:val="24"/>
                <w:szCs w:val="24"/>
              </w:rPr>
              <w:t>赤峰南部金矿重点勘查开采区</w:t>
            </w:r>
          </w:p>
        </w:tc>
        <w:tc>
          <w:tcPr>
            <w:tcW w:w="2693" w:type="dxa"/>
            <w:shd w:val="clear" w:color="auto" w:fill="auto"/>
            <w:noWrap w:val="0"/>
            <w:vAlign w:val="center"/>
          </w:tcPr>
          <w:p>
            <w:pPr>
              <w:pStyle w:val="15"/>
              <w:spacing w:line="360" w:lineRule="exact"/>
              <w:contextualSpacing/>
              <w:rPr>
                <w:rFonts w:ascii="仿宋_GB2312" w:eastAsia="仿宋_GB2312"/>
                <w:color w:val="000000"/>
                <w:sz w:val="24"/>
                <w:szCs w:val="24"/>
              </w:rPr>
            </w:pPr>
            <w:r>
              <w:rPr>
                <w:rFonts w:hint="eastAsia" w:ascii="仿宋_GB2312" w:eastAsia="仿宋_GB2312"/>
                <w:color w:val="000000"/>
                <w:sz w:val="24"/>
                <w:szCs w:val="24"/>
              </w:rPr>
              <w:t>铜、钼、金、银</w:t>
            </w:r>
          </w:p>
        </w:tc>
        <w:tc>
          <w:tcPr>
            <w:tcW w:w="1430" w:type="dxa"/>
            <w:shd w:val="clear" w:color="auto" w:fill="auto"/>
            <w:noWrap w:val="0"/>
            <w:vAlign w:val="center"/>
          </w:tcPr>
          <w:p>
            <w:pPr>
              <w:pStyle w:val="15"/>
              <w:spacing w:line="360" w:lineRule="exact"/>
              <w:contextualSpacing/>
              <w:rPr>
                <w:rFonts w:ascii="仿宋_GB2312" w:eastAsia="仿宋_GB2312"/>
                <w:color w:val="000000"/>
                <w:sz w:val="24"/>
                <w:szCs w:val="24"/>
              </w:rPr>
            </w:pPr>
            <w:r>
              <w:rPr>
                <w:rFonts w:hint="eastAsia" w:ascii="仿宋_GB2312" w:eastAsia="仿宋_GB2312"/>
                <w:color w:val="000000"/>
                <w:sz w:val="24"/>
                <w:szCs w:val="24"/>
              </w:rPr>
              <w:t>国家级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exact"/>
          <w:jc w:val="center"/>
        </w:trPr>
        <w:tc>
          <w:tcPr>
            <w:tcW w:w="817" w:type="dxa"/>
            <w:shd w:val="clear" w:color="auto" w:fill="auto"/>
            <w:noWrap w:val="0"/>
            <w:vAlign w:val="center"/>
          </w:tcPr>
          <w:p>
            <w:pPr>
              <w:pStyle w:val="15"/>
              <w:spacing w:line="560" w:lineRule="exact"/>
              <w:contextualSpacing/>
              <w:rPr>
                <w:rFonts w:ascii="仿宋_GB2312" w:eastAsia="仿宋_GB2312"/>
                <w:color w:val="000000"/>
                <w:sz w:val="24"/>
                <w:szCs w:val="24"/>
              </w:rPr>
            </w:pPr>
            <w:r>
              <w:rPr>
                <w:rFonts w:ascii="仿宋_GB2312" w:eastAsia="仿宋_GB2312"/>
                <w:color w:val="000000"/>
                <w:sz w:val="24"/>
                <w:szCs w:val="24"/>
              </w:rPr>
              <w:t>2</w:t>
            </w:r>
          </w:p>
        </w:tc>
        <w:tc>
          <w:tcPr>
            <w:tcW w:w="4641" w:type="dxa"/>
            <w:shd w:val="clear" w:color="auto" w:fill="auto"/>
            <w:noWrap w:val="0"/>
            <w:vAlign w:val="center"/>
          </w:tcPr>
          <w:p>
            <w:pPr>
              <w:pStyle w:val="15"/>
              <w:spacing w:line="360" w:lineRule="exact"/>
              <w:contextualSpacing/>
              <w:rPr>
                <w:rFonts w:ascii="仿宋_GB2312" w:eastAsia="仿宋_GB2312"/>
                <w:color w:val="000000"/>
                <w:sz w:val="24"/>
                <w:szCs w:val="24"/>
              </w:rPr>
            </w:pPr>
            <w:r>
              <w:rPr>
                <w:rFonts w:hint="eastAsia" w:ascii="仿宋_GB2312" w:eastAsia="仿宋_GB2312"/>
                <w:color w:val="000000"/>
                <w:sz w:val="24"/>
                <w:szCs w:val="24"/>
              </w:rPr>
              <w:t>内蒙古拜仁达坝—哈尔楚鲁图多金属矿重点勘查开采区</w:t>
            </w:r>
          </w:p>
        </w:tc>
        <w:tc>
          <w:tcPr>
            <w:tcW w:w="2693" w:type="dxa"/>
            <w:shd w:val="clear" w:color="auto" w:fill="auto"/>
            <w:noWrap w:val="0"/>
            <w:vAlign w:val="center"/>
          </w:tcPr>
          <w:p>
            <w:pPr>
              <w:pStyle w:val="15"/>
              <w:spacing w:line="360" w:lineRule="exact"/>
              <w:contextualSpacing/>
              <w:rPr>
                <w:rFonts w:ascii="仿宋_GB2312" w:eastAsia="仿宋_GB2312"/>
                <w:color w:val="000000"/>
                <w:sz w:val="24"/>
                <w:szCs w:val="24"/>
              </w:rPr>
            </w:pPr>
            <w:r>
              <w:rPr>
                <w:rFonts w:hint="eastAsia" w:ascii="仿宋_GB2312" w:eastAsia="仿宋_GB2312"/>
                <w:color w:val="000000"/>
                <w:sz w:val="24"/>
                <w:szCs w:val="24"/>
              </w:rPr>
              <w:t>铜、银、锂、铷、铍、多金属</w:t>
            </w:r>
          </w:p>
        </w:tc>
        <w:tc>
          <w:tcPr>
            <w:tcW w:w="1430" w:type="dxa"/>
            <w:shd w:val="clear" w:color="auto" w:fill="auto"/>
            <w:noWrap w:val="0"/>
            <w:vAlign w:val="center"/>
          </w:tcPr>
          <w:p>
            <w:pPr>
              <w:pStyle w:val="15"/>
              <w:spacing w:line="360" w:lineRule="exact"/>
              <w:contextualSpacing/>
              <w:rPr>
                <w:rFonts w:ascii="仿宋_GB2312" w:eastAsia="仿宋_GB2312"/>
                <w:color w:val="000000"/>
                <w:sz w:val="24"/>
                <w:szCs w:val="24"/>
              </w:rPr>
            </w:pPr>
            <w:r>
              <w:rPr>
                <w:rFonts w:hint="eastAsia" w:ascii="仿宋_GB2312" w:eastAsia="仿宋_GB2312"/>
                <w:color w:val="000000"/>
                <w:sz w:val="24"/>
                <w:szCs w:val="24"/>
              </w:rPr>
              <w:t>自治区级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exact"/>
          <w:jc w:val="center"/>
        </w:trPr>
        <w:tc>
          <w:tcPr>
            <w:tcW w:w="817" w:type="dxa"/>
            <w:shd w:val="clear" w:color="auto" w:fill="auto"/>
            <w:noWrap w:val="0"/>
            <w:vAlign w:val="center"/>
          </w:tcPr>
          <w:p>
            <w:pPr>
              <w:pStyle w:val="15"/>
              <w:spacing w:line="560" w:lineRule="exact"/>
              <w:contextualSpacing/>
              <w:rPr>
                <w:rFonts w:ascii="仿宋_GB2312" w:eastAsia="仿宋_GB2312"/>
                <w:color w:val="000000"/>
                <w:sz w:val="24"/>
                <w:szCs w:val="24"/>
              </w:rPr>
            </w:pPr>
            <w:r>
              <w:rPr>
                <w:rFonts w:ascii="仿宋_GB2312" w:eastAsia="仿宋_GB2312"/>
                <w:color w:val="000000"/>
                <w:sz w:val="24"/>
                <w:szCs w:val="24"/>
              </w:rPr>
              <w:t>3</w:t>
            </w:r>
          </w:p>
        </w:tc>
        <w:tc>
          <w:tcPr>
            <w:tcW w:w="4641" w:type="dxa"/>
            <w:shd w:val="clear" w:color="auto" w:fill="auto"/>
            <w:noWrap w:val="0"/>
            <w:vAlign w:val="center"/>
          </w:tcPr>
          <w:p>
            <w:pPr>
              <w:pStyle w:val="15"/>
              <w:spacing w:line="360" w:lineRule="exact"/>
              <w:contextualSpacing/>
              <w:rPr>
                <w:rFonts w:ascii="仿宋_GB2312" w:eastAsia="仿宋_GB2312"/>
                <w:color w:val="000000"/>
                <w:sz w:val="24"/>
                <w:szCs w:val="24"/>
              </w:rPr>
            </w:pPr>
            <w:r>
              <w:rPr>
                <w:rFonts w:hint="eastAsia" w:ascii="仿宋_GB2312" w:eastAsia="仿宋_GB2312"/>
                <w:color w:val="000000"/>
                <w:sz w:val="24"/>
                <w:szCs w:val="24"/>
              </w:rPr>
              <w:t>内蒙古哈达吐—台莱花多金属矿</w:t>
            </w:r>
          </w:p>
          <w:p>
            <w:pPr>
              <w:pStyle w:val="15"/>
              <w:spacing w:line="360" w:lineRule="exact"/>
              <w:contextualSpacing/>
              <w:rPr>
                <w:rFonts w:ascii="仿宋_GB2312" w:eastAsia="仿宋_GB2312"/>
                <w:color w:val="000000"/>
                <w:sz w:val="24"/>
                <w:szCs w:val="24"/>
              </w:rPr>
            </w:pPr>
            <w:r>
              <w:rPr>
                <w:rFonts w:hint="eastAsia" w:ascii="仿宋_GB2312" w:eastAsia="仿宋_GB2312"/>
                <w:color w:val="000000"/>
                <w:sz w:val="24"/>
                <w:szCs w:val="24"/>
              </w:rPr>
              <w:t>重点勘查开采区</w:t>
            </w:r>
          </w:p>
        </w:tc>
        <w:tc>
          <w:tcPr>
            <w:tcW w:w="2693" w:type="dxa"/>
            <w:shd w:val="clear" w:color="auto" w:fill="auto"/>
            <w:noWrap w:val="0"/>
            <w:vAlign w:val="center"/>
          </w:tcPr>
          <w:p>
            <w:pPr>
              <w:pStyle w:val="15"/>
              <w:spacing w:line="360" w:lineRule="exact"/>
              <w:contextualSpacing/>
              <w:rPr>
                <w:rFonts w:ascii="仿宋_GB2312" w:eastAsia="仿宋_GB2312"/>
                <w:color w:val="000000"/>
                <w:sz w:val="24"/>
                <w:szCs w:val="24"/>
              </w:rPr>
            </w:pPr>
            <w:r>
              <w:rPr>
                <w:rFonts w:hint="eastAsia" w:ascii="仿宋_GB2312" w:eastAsia="仿宋_GB2312"/>
                <w:color w:val="000000"/>
                <w:sz w:val="24"/>
                <w:szCs w:val="24"/>
              </w:rPr>
              <w:t>铅、锌、银、多金属</w:t>
            </w:r>
          </w:p>
        </w:tc>
        <w:tc>
          <w:tcPr>
            <w:tcW w:w="1430" w:type="dxa"/>
            <w:shd w:val="clear" w:color="auto" w:fill="auto"/>
            <w:noWrap w:val="0"/>
            <w:vAlign w:val="center"/>
          </w:tcPr>
          <w:p>
            <w:pPr>
              <w:pStyle w:val="15"/>
              <w:spacing w:line="360" w:lineRule="exact"/>
              <w:contextualSpacing/>
              <w:rPr>
                <w:rFonts w:ascii="仿宋_GB2312" w:eastAsia="仿宋_GB2312"/>
                <w:color w:val="000000"/>
                <w:sz w:val="24"/>
                <w:szCs w:val="24"/>
              </w:rPr>
            </w:pPr>
            <w:r>
              <w:rPr>
                <w:rFonts w:hint="eastAsia" w:ascii="仿宋_GB2312" w:eastAsia="仿宋_GB2312"/>
                <w:color w:val="000000"/>
                <w:sz w:val="24"/>
                <w:szCs w:val="24"/>
              </w:rPr>
              <w:t>自治区级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exact"/>
          <w:jc w:val="center"/>
        </w:trPr>
        <w:tc>
          <w:tcPr>
            <w:tcW w:w="817" w:type="dxa"/>
            <w:shd w:val="clear" w:color="auto" w:fill="auto"/>
            <w:noWrap w:val="0"/>
            <w:vAlign w:val="center"/>
          </w:tcPr>
          <w:p>
            <w:pPr>
              <w:pStyle w:val="15"/>
              <w:spacing w:line="560" w:lineRule="exact"/>
              <w:contextualSpacing/>
              <w:rPr>
                <w:rFonts w:ascii="仿宋_GB2312" w:eastAsia="仿宋_GB2312"/>
                <w:color w:val="000000"/>
                <w:sz w:val="24"/>
                <w:szCs w:val="24"/>
              </w:rPr>
            </w:pPr>
            <w:r>
              <w:rPr>
                <w:rFonts w:ascii="仿宋_GB2312" w:eastAsia="仿宋_GB2312"/>
                <w:color w:val="000000"/>
                <w:sz w:val="24"/>
                <w:szCs w:val="24"/>
              </w:rPr>
              <w:t>4</w:t>
            </w:r>
          </w:p>
        </w:tc>
        <w:tc>
          <w:tcPr>
            <w:tcW w:w="4641" w:type="dxa"/>
            <w:shd w:val="clear" w:color="auto" w:fill="auto"/>
            <w:noWrap w:val="0"/>
            <w:vAlign w:val="center"/>
          </w:tcPr>
          <w:p>
            <w:pPr>
              <w:pStyle w:val="15"/>
              <w:spacing w:line="360" w:lineRule="exact"/>
              <w:contextualSpacing/>
              <w:rPr>
                <w:rFonts w:ascii="仿宋_GB2312" w:eastAsia="仿宋_GB2312"/>
                <w:color w:val="000000"/>
                <w:sz w:val="24"/>
                <w:szCs w:val="24"/>
              </w:rPr>
            </w:pPr>
            <w:r>
              <w:rPr>
                <w:rFonts w:hint="eastAsia" w:ascii="仿宋_GB2312" w:eastAsia="仿宋_GB2312"/>
                <w:color w:val="000000"/>
                <w:sz w:val="24"/>
                <w:szCs w:val="24"/>
              </w:rPr>
              <w:t>阿鲁科尔沁旗绍根地区</w:t>
            </w:r>
          </w:p>
          <w:p>
            <w:pPr>
              <w:pStyle w:val="15"/>
              <w:spacing w:line="360" w:lineRule="exact"/>
              <w:contextualSpacing/>
              <w:rPr>
                <w:rFonts w:ascii="仿宋_GB2312" w:eastAsia="仿宋_GB2312"/>
                <w:color w:val="000000"/>
                <w:sz w:val="24"/>
                <w:szCs w:val="24"/>
              </w:rPr>
            </w:pPr>
            <w:r>
              <w:rPr>
                <w:rFonts w:hint="eastAsia" w:ascii="仿宋_GB2312" w:eastAsia="仿宋_GB2312"/>
                <w:color w:val="000000"/>
                <w:sz w:val="24"/>
                <w:szCs w:val="24"/>
              </w:rPr>
              <w:t>地热重点勘查开采区</w:t>
            </w:r>
          </w:p>
        </w:tc>
        <w:tc>
          <w:tcPr>
            <w:tcW w:w="2693" w:type="dxa"/>
            <w:shd w:val="clear" w:color="auto" w:fill="auto"/>
            <w:noWrap w:val="0"/>
            <w:vAlign w:val="center"/>
          </w:tcPr>
          <w:p>
            <w:pPr>
              <w:pStyle w:val="15"/>
              <w:spacing w:line="360" w:lineRule="exact"/>
              <w:contextualSpacing/>
              <w:rPr>
                <w:rFonts w:ascii="仿宋_GB2312" w:eastAsia="仿宋_GB2312"/>
                <w:color w:val="000000"/>
                <w:sz w:val="24"/>
                <w:szCs w:val="24"/>
              </w:rPr>
            </w:pPr>
            <w:r>
              <w:rPr>
                <w:rFonts w:hint="eastAsia" w:ascii="仿宋_GB2312" w:eastAsia="仿宋_GB2312"/>
                <w:color w:val="000000"/>
                <w:sz w:val="24"/>
                <w:szCs w:val="24"/>
              </w:rPr>
              <w:t>地热</w:t>
            </w:r>
          </w:p>
        </w:tc>
        <w:tc>
          <w:tcPr>
            <w:tcW w:w="1430" w:type="dxa"/>
            <w:shd w:val="clear" w:color="auto" w:fill="auto"/>
            <w:noWrap w:val="0"/>
            <w:vAlign w:val="center"/>
          </w:tcPr>
          <w:p>
            <w:pPr>
              <w:pStyle w:val="15"/>
              <w:spacing w:line="360" w:lineRule="exact"/>
              <w:contextualSpacing/>
              <w:rPr>
                <w:rFonts w:ascii="仿宋_GB2312" w:eastAsia="仿宋_GB2312"/>
                <w:color w:val="000000"/>
                <w:sz w:val="24"/>
                <w:szCs w:val="24"/>
              </w:rPr>
            </w:pPr>
            <w:r>
              <w:rPr>
                <w:rFonts w:hint="eastAsia" w:ascii="仿宋_GB2312" w:eastAsia="仿宋_GB2312"/>
                <w:color w:val="000000"/>
                <w:sz w:val="24"/>
                <w:szCs w:val="24"/>
              </w:rPr>
              <w:t>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exact"/>
          <w:jc w:val="center"/>
        </w:trPr>
        <w:tc>
          <w:tcPr>
            <w:tcW w:w="817" w:type="dxa"/>
            <w:shd w:val="clear" w:color="auto" w:fill="auto"/>
            <w:noWrap w:val="0"/>
            <w:vAlign w:val="center"/>
          </w:tcPr>
          <w:p>
            <w:pPr>
              <w:pStyle w:val="15"/>
              <w:spacing w:line="560" w:lineRule="exact"/>
              <w:contextualSpacing/>
              <w:rPr>
                <w:rFonts w:ascii="仿宋_GB2312" w:eastAsia="仿宋_GB2312"/>
                <w:color w:val="000000"/>
                <w:sz w:val="24"/>
                <w:szCs w:val="24"/>
              </w:rPr>
            </w:pPr>
            <w:r>
              <w:rPr>
                <w:rFonts w:ascii="仿宋_GB2312" w:eastAsia="仿宋_GB2312"/>
                <w:color w:val="000000"/>
                <w:sz w:val="24"/>
                <w:szCs w:val="24"/>
              </w:rPr>
              <w:t>5</w:t>
            </w:r>
          </w:p>
        </w:tc>
        <w:tc>
          <w:tcPr>
            <w:tcW w:w="4641" w:type="dxa"/>
            <w:shd w:val="clear" w:color="auto" w:fill="auto"/>
            <w:noWrap w:val="0"/>
            <w:vAlign w:val="center"/>
          </w:tcPr>
          <w:p>
            <w:pPr>
              <w:pStyle w:val="15"/>
              <w:spacing w:line="360" w:lineRule="exact"/>
              <w:contextualSpacing/>
              <w:rPr>
                <w:rFonts w:ascii="仿宋_GB2312" w:eastAsia="仿宋_GB2312"/>
                <w:color w:val="000000"/>
                <w:sz w:val="24"/>
                <w:szCs w:val="24"/>
              </w:rPr>
            </w:pPr>
            <w:r>
              <w:rPr>
                <w:rFonts w:hint="eastAsia" w:ascii="仿宋_GB2312" w:eastAsia="仿宋_GB2312"/>
                <w:color w:val="000000"/>
                <w:sz w:val="24"/>
                <w:szCs w:val="24"/>
              </w:rPr>
              <w:t>元宝山区风水沟</w:t>
            </w:r>
            <w:r>
              <w:rPr>
                <w:rFonts w:ascii="仿宋_GB2312" w:eastAsia="仿宋_GB2312"/>
                <w:color w:val="000000"/>
                <w:sz w:val="24"/>
                <w:szCs w:val="24"/>
              </w:rPr>
              <w:t>-宁城县甸子</w:t>
            </w:r>
          </w:p>
          <w:p>
            <w:pPr>
              <w:pStyle w:val="15"/>
              <w:spacing w:line="360" w:lineRule="exact"/>
              <w:contextualSpacing/>
              <w:rPr>
                <w:rFonts w:ascii="仿宋_GB2312" w:eastAsia="仿宋_GB2312"/>
                <w:color w:val="000000"/>
                <w:sz w:val="24"/>
                <w:szCs w:val="24"/>
              </w:rPr>
            </w:pPr>
            <w:r>
              <w:rPr>
                <w:rFonts w:hint="eastAsia" w:ascii="仿宋_GB2312" w:eastAsia="仿宋_GB2312"/>
                <w:color w:val="000000"/>
                <w:sz w:val="24"/>
                <w:szCs w:val="24"/>
              </w:rPr>
              <w:t>地热重点勘查开采区</w:t>
            </w:r>
          </w:p>
        </w:tc>
        <w:tc>
          <w:tcPr>
            <w:tcW w:w="2693" w:type="dxa"/>
            <w:shd w:val="clear" w:color="auto" w:fill="auto"/>
            <w:noWrap w:val="0"/>
            <w:vAlign w:val="center"/>
          </w:tcPr>
          <w:p>
            <w:pPr>
              <w:pStyle w:val="15"/>
              <w:spacing w:line="360" w:lineRule="exact"/>
              <w:contextualSpacing/>
              <w:rPr>
                <w:rFonts w:ascii="仿宋_GB2312" w:eastAsia="仿宋_GB2312"/>
                <w:color w:val="000000"/>
                <w:sz w:val="24"/>
                <w:szCs w:val="24"/>
              </w:rPr>
            </w:pPr>
            <w:r>
              <w:rPr>
                <w:rFonts w:hint="eastAsia" w:ascii="仿宋_GB2312" w:eastAsia="仿宋_GB2312"/>
                <w:color w:val="000000"/>
                <w:sz w:val="24"/>
                <w:szCs w:val="24"/>
              </w:rPr>
              <w:t>地热</w:t>
            </w:r>
          </w:p>
        </w:tc>
        <w:tc>
          <w:tcPr>
            <w:tcW w:w="1430" w:type="dxa"/>
            <w:shd w:val="clear" w:color="auto" w:fill="auto"/>
            <w:noWrap w:val="0"/>
            <w:vAlign w:val="center"/>
          </w:tcPr>
          <w:p>
            <w:pPr>
              <w:pStyle w:val="15"/>
              <w:spacing w:line="360" w:lineRule="exact"/>
              <w:contextualSpacing/>
              <w:rPr>
                <w:rFonts w:ascii="仿宋_GB2312" w:eastAsia="仿宋_GB2312"/>
                <w:color w:val="000000"/>
                <w:sz w:val="24"/>
                <w:szCs w:val="24"/>
              </w:rPr>
            </w:pPr>
            <w:r>
              <w:rPr>
                <w:rFonts w:hint="eastAsia" w:ascii="仿宋_GB2312" w:eastAsia="仿宋_GB2312"/>
                <w:color w:val="000000"/>
                <w:sz w:val="24"/>
                <w:szCs w:val="24"/>
              </w:rPr>
              <w:t>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exact"/>
          <w:jc w:val="center"/>
        </w:trPr>
        <w:tc>
          <w:tcPr>
            <w:tcW w:w="817" w:type="dxa"/>
            <w:shd w:val="clear" w:color="auto" w:fill="auto"/>
            <w:noWrap w:val="0"/>
            <w:vAlign w:val="center"/>
          </w:tcPr>
          <w:p>
            <w:pPr>
              <w:pStyle w:val="15"/>
              <w:spacing w:line="560" w:lineRule="exact"/>
              <w:contextualSpacing/>
              <w:rPr>
                <w:rFonts w:ascii="仿宋_GB2312" w:eastAsia="仿宋_GB2312"/>
                <w:color w:val="000000"/>
                <w:sz w:val="24"/>
                <w:szCs w:val="24"/>
              </w:rPr>
            </w:pPr>
            <w:r>
              <w:rPr>
                <w:rFonts w:ascii="仿宋_GB2312" w:eastAsia="仿宋_GB2312"/>
                <w:color w:val="000000"/>
                <w:sz w:val="24"/>
                <w:szCs w:val="24"/>
              </w:rPr>
              <w:t>6</w:t>
            </w:r>
          </w:p>
        </w:tc>
        <w:tc>
          <w:tcPr>
            <w:tcW w:w="4641" w:type="dxa"/>
            <w:shd w:val="clear" w:color="auto" w:fill="auto"/>
            <w:noWrap w:val="0"/>
            <w:vAlign w:val="center"/>
          </w:tcPr>
          <w:p>
            <w:pPr>
              <w:pStyle w:val="15"/>
              <w:spacing w:line="360" w:lineRule="exact"/>
              <w:contextualSpacing/>
              <w:rPr>
                <w:rFonts w:ascii="仿宋_GB2312" w:eastAsia="仿宋_GB2312"/>
                <w:color w:val="000000"/>
                <w:sz w:val="24"/>
                <w:szCs w:val="24"/>
              </w:rPr>
            </w:pPr>
            <w:r>
              <w:rPr>
                <w:rFonts w:hint="eastAsia" w:ascii="仿宋_GB2312" w:eastAsia="仿宋_GB2312"/>
                <w:color w:val="000000"/>
                <w:sz w:val="24"/>
                <w:szCs w:val="24"/>
              </w:rPr>
              <w:t>敖汉旗南部地热重点勘查开采区</w:t>
            </w:r>
          </w:p>
        </w:tc>
        <w:tc>
          <w:tcPr>
            <w:tcW w:w="2693" w:type="dxa"/>
            <w:shd w:val="clear" w:color="auto" w:fill="auto"/>
            <w:noWrap w:val="0"/>
            <w:vAlign w:val="center"/>
          </w:tcPr>
          <w:p>
            <w:pPr>
              <w:pStyle w:val="15"/>
              <w:spacing w:line="360" w:lineRule="exact"/>
              <w:contextualSpacing/>
              <w:rPr>
                <w:rFonts w:ascii="仿宋_GB2312" w:eastAsia="仿宋_GB2312"/>
                <w:color w:val="000000"/>
                <w:sz w:val="24"/>
                <w:szCs w:val="24"/>
              </w:rPr>
            </w:pPr>
            <w:r>
              <w:rPr>
                <w:rFonts w:hint="eastAsia" w:ascii="仿宋_GB2312" w:eastAsia="仿宋_GB2312"/>
                <w:color w:val="000000"/>
                <w:sz w:val="24"/>
                <w:szCs w:val="24"/>
              </w:rPr>
              <w:t>地热</w:t>
            </w:r>
          </w:p>
        </w:tc>
        <w:tc>
          <w:tcPr>
            <w:tcW w:w="1430" w:type="dxa"/>
            <w:shd w:val="clear" w:color="auto" w:fill="auto"/>
            <w:noWrap w:val="0"/>
            <w:vAlign w:val="center"/>
          </w:tcPr>
          <w:p>
            <w:pPr>
              <w:pStyle w:val="15"/>
              <w:spacing w:line="360" w:lineRule="exact"/>
              <w:contextualSpacing/>
              <w:rPr>
                <w:rFonts w:ascii="仿宋_GB2312" w:eastAsia="仿宋_GB2312"/>
                <w:color w:val="000000"/>
                <w:sz w:val="24"/>
                <w:szCs w:val="24"/>
              </w:rPr>
            </w:pPr>
            <w:r>
              <w:rPr>
                <w:rFonts w:hint="eastAsia" w:ascii="仿宋_GB2312" w:eastAsia="仿宋_GB2312"/>
                <w:color w:val="000000"/>
                <w:sz w:val="24"/>
                <w:szCs w:val="24"/>
              </w:rPr>
              <w:t>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1" w:hRule="exact"/>
          <w:jc w:val="center"/>
        </w:trPr>
        <w:tc>
          <w:tcPr>
            <w:tcW w:w="817" w:type="dxa"/>
            <w:shd w:val="clear" w:color="auto" w:fill="auto"/>
            <w:noWrap w:val="0"/>
            <w:vAlign w:val="center"/>
          </w:tcPr>
          <w:p>
            <w:pPr>
              <w:pStyle w:val="15"/>
              <w:spacing w:line="560" w:lineRule="exact"/>
              <w:contextualSpacing/>
              <w:rPr>
                <w:rFonts w:ascii="仿宋_GB2312" w:eastAsia="仿宋_GB2312"/>
                <w:color w:val="000000"/>
                <w:sz w:val="24"/>
                <w:szCs w:val="24"/>
              </w:rPr>
            </w:pPr>
            <w:r>
              <w:rPr>
                <w:rFonts w:ascii="仿宋_GB2312" w:eastAsia="仿宋_GB2312"/>
                <w:color w:val="000000"/>
                <w:sz w:val="24"/>
                <w:szCs w:val="24"/>
              </w:rPr>
              <w:t>7</w:t>
            </w:r>
          </w:p>
        </w:tc>
        <w:tc>
          <w:tcPr>
            <w:tcW w:w="4641" w:type="dxa"/>
            <w:shd w:val="clear" w:color="auto" w:fill="auto"/>
            <w:noWrap w:val="0"/>
            <w:vAlign w:val="center"/>
          </w:tcPr>
          <w:p>
            <w:pPr>
              <w:pStyle w:val="15"/>
              <w:spacing w:line="360" w:lineRule="exact"/>
              <w:contextualSpacing/>
              <w:rPr>
                <w:rFonts w:ascii="仿宋_GB2312" w:eastAsia="仿宋_GB2312"/>
                <w:color w:val="000000"/>
                <w:sz w:val="24"/>
                <w:szCs w:val="24"/>
              </w:rPr>
            </w:pPr>
            <w:r>
              <w:rPr>
                <w:rFonts w:hint="eastAsia" w:ascii="仿宋_GB2312" w:eastAsia="仿宋_GB2312"/>
                <w:color w:val="000000"/>
                <w:sz w:val="24"/>
                <w:szCs w:val="24"/>
              </w:rPr>
              <w:t>巴林左旗富河镇—阿鲁科尔沁旗巴彦温都尔苏木铅锌多金属重点勘查开采区</w:t>
            </w:r>
          </w:p>
        </w:tc>
        <w:tc>
          <w:tcPr>
            <w:tcW w:w="2693" w:type="dxa"/>
            <w:shd w:val="clear" w:color="auto" w:fill="auto"/>
            <w:noWrap w:val="0"/>
            <w:vAlign w:val="center"/>
          </w:tcPr>
          <w:p>
            <w:pPr>
              <w:pStyle w:val="15"/>
              <w:spacing w:line="360" w:lineRule="exact"/>
              <w:contextualSpacing/>
              <w:rPr>
                <w:rFonts w:ascii="仿宋_GB2312" w:eastAsia="仿宋_GB2312"/>
                <w:color w:val="000000"/>
                <w:sz w:val="24"/>
                <w:szCs w:val="24"/>
              </w:rPr>
            </w:pPr>
            <w:r>
              <w:rPr>
                <w:rFonts w:hint="eastAsia" w:ascii="仿宋_GB2312" w:eastAsia="仿宋_GB2312"/>
                <w:color w:val="000000"/>
                <w:sz w:val="24"/>
                <w:szCs w:val="24"/>
              </w:rPr>
              <w:t>铅、锌、多金属</w:t>
            </w:r>
          </w:p>
        </w:tc>
        <w:tc>
          <w:tcPr>
            <w:tcW w:w="1430" w:type="dxa"/>
            <w:shd w:val="clear" w:color="auto" w:fill="auto"/>
            <w:noWrap w:val="0"/>
            <w:vAlign w:val="center"/>
          </w:tcPr>
          <w:p>
            <w:pPr>
              <w:pStyle w:val="15"/>
              <w:spacing w:line="360" w:lineRule="exact"/>
              <w:contextualSpacing/>
              <w:rPr>
                <w:rFonts w:ascii="仿宋_GB2312" w:eastAsia="仿宋_GB2312"/>
                <w:color w:val="000000"/>
                <w:sz w:val="24"/>
                <w:szCs w:val="24"/>
              </w:rPr>
            </w:pPr>
            <w:r>
              <w:rPr>
                <w:rFonts w:hint="eastAsia" w:ascii="仿宋_GB2312" w:eastAsia="仿宋_GB2312"/>
                <w:color w:val="000000"/>
                <w:sz w:val="24"/>
                <w:szCs w:val="24"/>
              </w:rPr>
              <w:t>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817" w:type="dxa"/>
            <w:shd w:val="clear" w:color="auto" w:fill="auto"/>
            <w:noWrap w:val="0"/>
            <w:vAlign w:val="center"/>
          </w:tcPr>
          <w:p>
            <w:pPr>
              <w:pStyle w:val="15"/>
              <w:spacing w:line="560" w:lineRule="exact"/>
              <w:contextualSpacing/>
              <w:rPr>
                <w:rFonts w:ascii="仿宋_GB2312" w:eastAsia="仿宋_GB2312"/>
                <w:color w:val="000000"/>
                <w:sz w:val="24"/>
                <w:szCs w:val="24"/>
              </w:rPr>
            </w:pPr>
            <w:r>
              <w:rPr>
                <w:rFonts w:ascii="仿宋_GB2312" w:eastAsia="仿宋_GB2312"/>
                <w:color w:val="000000"/>
                <w:sz w:val="24"/>
                <w:szCs w:val="24"/>
              </w:rPr>
              <w:t>8</w:t>
            </w:r>
          </w:p>
        </w:tc>
        <w:tc>
          <w:tcPr>
            <w:tcW w:w="4641" w:type="dxa"/>
            <w:shd w:val="clear" w:color="auto" w:fill="auto"/>
            <w:noWrap w:val="0"/>
            <w:vAlign w:val="center"/>
          </w:tcPr>
          <w:p>
            <w:pPr>
              <w:pStyle w:val="15"/>
              <w:spacing w:line="360" w:lineRule="exact"/>
              <w:contextualSpacing/>
              <w:rPr>
                <w:rFonts w:ascii="仿宋_GB2312" w:eastAsia="仿宋_GB2312"/>
                <w:color w:val="000000"/>
                <w:sz w:val="24"/>
                <w:szCs w:val="24"/>
              </w:rPr>
            </w:pPr>
            <w:r>
              <w:rPr>
                <w:rFonts w:hint="eastAsia" w:ascii="仿宋_GB2312" w:eastAsia="仿宋_GB2312"/>
                <w:color w:val="000000"/>
                <w:sz w:val="24"/>
                <w:szCs w:val="24"/>
              </w:rPr>
              <w:t>巴林左旗隆昌镇—阿鲁科尔沁旗</w:t>
            </w:r>
          </w:p>
          <w:p>
            <w:pPr>
              <w:pStyle w:val="15"/>
              <w:spacing w:line="360" w:lineRule="exact"/>
              <w:contextualSpacing/>
              <w:rPr>
                <w:rFonts w:ascii="仿宋_GB2312" w:eastAsia="仿宋_GB2312"/>
                <w:color w:val="000000"/>
                <w:sz w:val="24"/>
                <w:szCs w:val="24"/>
              </w:rPr>
            </w:pPr>
            <w:r>
              <w:rPr>
                <w:rFonts w:hint="eastAsia" w:ascii="仿宋_GB2312" w:eastAsia="仿宋_GB2312"/>
                <w:color w:val="000000"/>
                <w:sz w:val="24"/>
                <w:szCs w:val="24"/>
              </w:rPr>
              <w:t>双胜镇铅锌多金属重点勘查开采区</w:t>
            </w:r>
          </w:p>
        </w:tc>
        <w:tc>
          <w:tcPr>
            <w:tcW w:w="2693" w:type="dxa"/>
            <w:shd w:val="clear" w:color="auto" w:fill="auto"/>
            <w:noWrap w:val="0"/>
            <w:vAlign w:val="center"/>
          </w:tcPr>
          <w:p>
            <w:pPr>
              <w:pStyle w:val="15"/>
              <w:spacing w:line="360" w:lineRule="exact"/>
              <w:contextualSpacing/>
              <w:rPr>
                <w:rFonts w:ascii="仿宋_GB2312" w:eastAsia="仿宋_GB2312"/>
                <w:color w:val="000000"/>
                <w:sz w:val="24"/>
                <w:szCs w:val="24"/>
              </w:rPr>
            </w:pPr>
            <w:r>
              <w:rPr>
                <w:rFonts w:hint="eastAsia" w:ascii="仿宋_GB2312" w:eastAsia="仿宋_GB2312"/>
                <w:color w:val="000000"/>
                <w:sz w:val="24"/>
                <w:szCs w:val="24"/>
              </w:rPr>
              <w:t>铅、锌、多金属</w:t>
            </w:r>
          </w:p>
        </w:tc>
        <w:tc>
          <w:tcPr>
            <w:tcW w:w="1430" w:type="dxa"/>
            <w:shd w:val="clear" w:color="auto" w:fill="auto"/>
            <w:noWrap w:val="0"/>
            <w:vAlign w:val="center"/>
          </w:tcPr>
          <w:p>
            <w:pPr>
              <w:pStyle w:val="15"/>
              <w:spacing w:line="360" w:lineRule="exact"/>
              <w:contextualSpacing/>
              <w:rPr>
                <w:rFonts w:ascii="仿宋_GB2312" w:eastAsia="仿宋_GB2312"/>
                <w:color w:val="000000"/>
                <w:sz w:val="24"/>
                <w:szCs w:val="24"/>
              </w:rPr>
            </w:pPr>
            <w:r>
              <w:rPr>
                <w:rFonts w:hint="eastAsia" w:ascii="仿宋_GB2312" w:eastAsia="仿宋_GB2312"/>
                <w:color w:val="000000"/>
                <w:sz w:val="24"/>
                <w:szCs w:val="24"/>
              </w:rPr>
              <w:t>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817" w:type="dxa"/>
            <w:shd w:val="clear" w:color="auto" w:fill="auto"/>
            <w:noWrap w:val="0"/>
            <w:vAlign w:val="center"/>
          </w:tcPr>
          <w:p>
            <w:pPr>
              <w:pStyle w:val="15"/>
              <w:spacing w:line="560" w:lineRule="exact"/>
              <w:contextualSpacing/>
              <w:rPr>
                <w:rFonts w:ascii="仿宋_GB2312" w:eastAsia="仿宋_GB2312"/>
                <w:color w:val="000000"/>
                <w:sz w:val="24"/>
                <w:szCs w:val="24"/>
              </w:rPr>
            </w:pPr>
            <w:r>
              <w:rPr>
                <w:rFonts w:ascii="仿宋_GB2312" w:eastAsia="仿宋_GB2312"/>
                <w:color w:val="000000"/>
                <w:sz w:val="24"/>
                <w:szCs w:val="24"/>
              </w:rPr>
              <w:t>9</w:t>
            </w:r>
          </w:p>
        </w:tc>
        <w:tc>
          <w:tcPr>
            <w:tcW w:w="4641" w:type="dxa"/>
            <w:shd w:val="clear" w:color="auto" w:fill="auto"/>
            <w:noWrap w:val="0"/>
            <w:vAlign w:val="center"/>
          </w:tcPr>
          <w:p>
            <w:pPr>
              <w:pStyle w:val="15"/>
              <w:spacing w:line="360" w:lineRule="exact"/>
              <w:contextualSpacing/>
              <w:rPr>
                <w:rFonts w:ascii="仿宋_GB2312" w:eastAsia="仿宋_GB2312"/>
                <w:color w:val="000000"/>
                <w:sz w:val="24"/>
                <w:szCs w:val="24"/>
              </w:rPr>
            </w:pPr>
            <w:r>
              <w:rPr>
                <w:rFonts w:hint="eastAsia" w:ascii="仿宋_GB2312" w:eastAsia="仿宋_GB2312"/>
                <w:color w:val="000000"/>
                <w:sz w:val="24"/>
                <w:szCs w:val="24"/>
              </w:rPr>
              <w:t>边家大院铅、锌、银、萤石</w:t>
            </w:r>
          </w:p>
          <w:p>
            <w:pPr>
              <w:pStyle w:val="15"/>
              <w:spacing w:line="360" w:lineRule="exact"/>
              <w:contextualSpacing/>
              <w:rPr>
                <w:rFonts w:ascii="仿宋_GB2312" w:eastAsia="仿宋_GB2312"/>
                <w:color w:val="000000"/>
                <w:sz w:val="24"/>
                <w:szCs w:val="24"/>
              </w:rPr>
            </w:pPr>
            <w:r>
              <w:rPr>
                <w:rFonts w:hint="eastAsia" w:ascii="仿宋_GB2312" w:eastAsia="仿宋_GB2312"/>
                <w:color w:val="000000"/>
                <w:sz w:val="24"/>
                <w:szCs w:val="24"/>
              </w:rPr>
              <w:t>重点勘查开采区</w:t>
            </w:r>
          </w:p>
        </w:tc>
        <w:tc>
          <w:tcPr>
            <w:tcW w:w="2693" w:type="dxa"/>
            <w:shd w:val="clear" w:color="auto" w:fill="auto"/>
            <w:noWrap w:val="0"/>
            <w:vAlign w:val="center"/>
          </w:tcPr>
          <w:p>
            <w:pPr>
              <w:pStyle w:val="15"/>
              <w:spacing w:line="360" w:lineRule="exact"/>
              <w:contextualSpacing/>
              <w:rPr>
                <w:rFonts w:ascii="仿宋_GB2312" w:eastAsia="仿宋_GB2312"/>
                <w:color w:val="000000"/>
                <w:sz w:val="24"/>
                <w:szCs w:val="24"/>
              </w:rPr>
            </w:pPr>
            <w:r>
              <w:rPr>
                <w:rFonts w:hint="eastAsia" w:ascii="仿宋_GB2312" w:eastAsia="仿宋_GB2312"/>
                <w:color w:val="000000"/>
                <w:sz w:val="24"/>
                <w:szCs w:val="24"/>
              </w:rPr>
              <w:t>铅、锌、银</w:t>
            </w:r>
          </w:p>
        </w:tc>
        <w:tc>
          <w:tcPr>
            <w:tcW w:w="1430" w:type="dxa"/>
            <w:shd w:val="clear" w:color="auto" w:fill="auto"/>
            <w:noWrap w:val="0"/>
            <w:vAlign w:val="center"/>
          </w:tcPr>
          <w:p>
            <w:pPr>
              <w:pStyle w:val="15"/>
              <w:spacing w:line="360" w:lineRule="exact"/>
              <w:contextualSpacing/>
              <w:rPr>
                <w:rFonts w:ascii="仿宋_GB2312" w:eastAsia="仿宋_GB2312"/>
                <w:color w:val="000000"/>
                <w:sz w:val="24"/>
                <w:szCs w:val="24"/>
              </w:rPr>
            </w:pPr>
            <w:r>
              <w:rPr>
                <w:rFonts w:hint="eastAsia" w:ascii="仿宋_GB2312" w:eastAsia="仿宋_GB2312"/>
                <w:color w:val="000000"/>
                <w:sz w:val="24"/>
                <w:szCs w:val="24"/>
              </w:rPr>
              <w:t>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817" w:type="dxa"/>
            <w:shd w:val="clear" w:color="auto" w:fill="auto"/>
            <w:noWrap w:val="0"/>
            <w:vAlign w:val="center"/>
          </w:tcPr>
          <w:p>
            <w:pPr>
              <w:pStyle w:val="15"/>
              <w:spacing w:line="560" w:lineRule="exact"/>
              <w:contextualSpacing/>
              <w:rPr>
                <w:rFonts w:ascii="仿宋_GB2312" w:eastAsia="仿宋_GB2312"/>
                <w:color w:val="000000"/>
                <w:sz w:val="24"/>
                <w:szCs w:val="24"/>
              </w:rPr>
            </w:pPr>
            <w:r>
              <w:rPr>
                <w:rFonts w:ascii="仿宋_GB2312" w:eastAsia="仿宋_GB2312"/>
                <w:color w:val="000000"/>
                <w:sz w:val="24"/>
                <w:szCs w:val="24"/>
              </w:rPr>
              <w:t>10</w:t>
            </w:r>
          </w:p>
        </w:tc>
        <w:tc>
          <w:tcPr>
            <w:tcW w:w="4641" w:type="dxa"/>
            <w:shd w:val="clear" w:color="auto" w:fill="auto"/>
            <w:noWrap w:val="0"/>
            <w:vAlign w:val="center"/>
          </w:tcPr>
          <w:p>
            <w:pPr>
              <w:pStyle w:val="15"/>
              <w:spacing w:line="360" w:lineRule="exact"/>
              <w:contextualSpacing/>
              <w:rPr>
                <w:rFonts w:ascii="仿宋_GB2312" w:eastAsia="仿宋_GB2312"/>
                <w:color w:val="000000"/>
                <w:sz w:val="24"/>
                <w:szCs w:val="24"/>
              </w:rPr>
            </w:pPr>
            <w:r>
              <w:rPr>
                <w:rFonts w:hint="eastAsia" w:ascii="仿宋_GB2312" w:eastAsia="仿宋_GB2312"/>
                <w:color w:val="000000"/>
                <w:sz w:val="24"/>
                <w:szCs w:val="24"/>
              </w:rPr>
              <w:t>巴林左旗林东</w:t>
            </w:r>
            <w:r>
              <w:rPr>
                <w:rFonts w:ascii="仿宋_GB2312" w:eastAsia="仿宋_GB2312"/>
                <w:color w:val="000000"/>
                <w:sz w:val="24"/>
                <w:szCs w:val="24"/>
              </w:rPr>
              <w:t>-十三敖包饰面</w:t>
            </w:r>
          </w:p>
          <w:p>
            <w:pPr>
              <w:pStyle w:val="15"/>
              <w:spacing w:line="360" w:lineRule="exact"/>
              <w:contextualSpacing/>
              <w:rPr>
                <w:rFonts w:ascii="仿宋_GB2312" w:eastAsia="仿宋_GB2312"/>
                <w:color w:val="000000"/>
                <w:sz w:val="24"/>
                <w:szCs w:val="24"/>
              </w:rPr>
            </w:pPr>
            <w:r>
              <w:rPr>
                <w:rFonts w:hint="eastAsia" w:ascii="仿宋_GB2312" w:eastAsia="仿宋_GB2312"/>
                <w:color w:val="000000"/>
                <w:sz w:val="24"/>
                <w:szCs w:val="24"/>
              </w:rPr>
              <w:t>花岗岩重点勘查开采区</w:t>
            </w:r>
          </w:p>
        </w:tc>
        <w:tc>
          <w:tcPr>
            <w:tcW w:w="2693" w:type="dxa"/>
            <w:shd w:val="clear" w:color="auto" w:fill="auto"/>
            <w:noWrap w:val="0"/>
            <w:vAlign w:val="center"/>
          </w:tcPr>
          <w:p>
            <w:pPr>
              <w:pStyle w:val="15"/>
              <w:spacing w:line="360" w:lineRule="exact"/>
              <w:contextualSpacing/>
              <w:rPr>
                <w:rFonts w:ascii="仿宋_GB2312" w:eastAsia="仿宋_GB2312"/>
                <w:color w:val="000000"/>
                <w:sz w:val="24"/>
                <w:szCs w:val="24"/>
              </w:rPr>
            </w:pPr>
            <w:r>
              <w:rPr>
                <w:rFonts w:hint="eastAsia" w:ascii="仿宋_GB2312" w:eastAsia="仿宋_GB2312"/>
                <w:color w:val="000000"/>
                <w:sz w:val="24"/>
                <w:szCs w:val="24"/>
              </w:rPr>
              <w:t>饰面用花岗岩</w:t>
            </w:r>
          </w:p>
        </w:tc>
        <w:tc>
          <w:tcPr>
            <w:tcW w:w="1430" w:type="dxa"/>
            <w:shd w:val="clear" w:color="auto" w:fill="auto"/>
            <w:noWrap w:val="0"/>
            <w:vAlign w:val="center"/>
          </w:tcPr>
          <w:p>
            <w:pPr>
              <w:pStyle w:val="15"/>
              <w:spacing w:line="360" w:lineRule="exact"/>
              <w:contextualSpacing/>
              <w:rPr>
                <w:rFonts w:ascii="仿宋_GB2312" w:eastAsia="仿宋_GB2312"/>
                <w:color w:val="000000"/>
                <w:sz w:val="24"/>
                <w:szCs w:val="24"/>
              </w:rPr>
            </w:pPr>
            <w:r>
              <w:rPr>
                <w:rFonts w:hint="eastAsia" w:ascii="仿宋_GB2312" w:eastAsia="仿宋_GB2312"/>
                <w:color w:val="000000"/>
                <w:sz w:val="24"/>
                <w:szCs w:val="24"/>
              </w:rPr>
              <w:t>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1" w:hRule="exact"/>
          <w:jc w:val="center"/>
        </w:trPr>
        <w:tc>
          <w:tcPr>
            <w:tcW w:w="817" w:type="dxa"/>
            <w:shd w:val="clear" w:color="auto" w:fill="auto"/>
            <w:noWrap w:val="0"/>
            <w:vAlign w:val="center"/>
          </w:tcPr>
          <w:p>
            <w:pPr>
              <w:pStyle w:val="15"/>
              <w:spacing w:line="560" w:lineRule="exact"/>
              <w:contextualSpacing/>
              <w:rPr>
                <w:rFonts w:ascii="仿宋_GB2312" w:eastAsia="仿宋_GB2312"/>
                <w:color w:val="000000"/>
                <w:sz w:val="24"/>
                <w:szCs w:val="24"/>
              </w:rPr>
            </w:pPr>
            <w:r>
              <w:rPr>
                <w:rFonts w:ascii="仿宋_GB2312" w:eastAsia="仿宋_GB2312"/>
                <w:color w:val="000000"/>
                <w:sz w:val="24"/>
                <w:szCs w:val="24"/>
              </w:rPr>
              <w:t>11</w:t>
            </w:r>
          </w:p>
        </w:tc>
        <w:tc>
          <w:tcPr>
            <w:tcW w:w="4641" w:type="dxa"/>
            <w:shd w:val="clear" w:color="auto" w:fill="auto"/>
            <w:noWrap w:val="0"/>
            <w:vAlign w:val="center"/>
          </w:tcPr>
          <w:p>
            <w:pPr>
              <w:pStyle w:val="15"/>
              <w:spacing w:line="360" w:lineRule="exact"/>
              <w:contextualSpacing/>
              <w:rPr>
                <w:rFonts w:ascii="仿宋_GB2312" w:eastAsia="仿宋_GB2312"/>
                <w:color w:val="000000"/>
                <w:sz w:val="24"/>
                <w:szCs w:val="24"/>
              </w:rPr>
            </w:pPr>
            <w:r>
              <w:rPr>
                <w:rFonts w:hint="eastAsia" w:ascii="仿宋_GB2312" w:eastAsia="仿宋_GB2312"/>
                <w:color w:val="000000"/>
                <w:sz w:val="24"/>
                <w:szCs w:val="24"/>
              </w:rPr>
              <w:t>巴林左旗隆昌镇饰面花岗岩</w:t>
            </w:r>
          </w:p>
          <w:p>
            <w:pPr>
              <w:pStyle w:val="15"/>
              <w:spacing w:line="360" w:lineRule="exact"/>
              <w:contextualSpacing/>
              <w:rPr>
                <w:rFonts w:ascii="仿宋_GB2312" w:eastAsia="仿宋_GB2312"/>
                <w:color w:val="000000"/>
                <w:sz w:val="24"/>
                <w:szCs w:val="24"/>
              </w:rPr>
            </w:pPr>
            <w:r>
              <w:rPr>
                <w:rFonts w:hint="eastAsia" w:ascii="仿宋_GB2312" w:eastAsia="仿宋_GB2312"/>
                <w:color w:val="000000"/>
                <w:sz w:val="24"/>
                <w:szCs w:val="24"/>
              </w:rPr>
              <w:t>重点勘查开采区</w:t>
            </w:r>
          </w:p>
        </w:tc>
        <w:tc>
          <w:tcPr>
            <w:tcW w:w="2693" w:type="dxa"/>
            <w:shd w:val="clear" w:color="auto" w:fill="auto"/>
            <w:noWrap w:val="0"/>
            <w:vAlign w:val="center"/>
          </w:tcPr>
          <w:p>
            <w:pPr>
              <w:pStyle w:val="15"/>
              <w:spacing w:line="360" w:lineRule="exact"/>
              <w:contextualSpacing/>
              <w:rPr>
                <w:rFonts w:ascii="仿宋_GB2312" w:eastAsia="仿宋_GB2312"/>
                <w:color w:val="000000"/>
                <w:sz w:val="24"/>
                <w:szCs w:val="24"/>
              </w:rPr>
            </w:pPr>
            <w:r>
              <w:rPr>
                <w:rFonts w:hint="eastAsia" w:ascii="仿宋_GB2312" w:eastAsia="仿宋_GB2312"/>
                <w:color w:val="000000"/>
                <w:sz w:val="24"/>
                <w:szCs w:val="24"/>
              </w:rPr>
              <w:t>饰面用花岗岩</w:t>
            </w:r>
          </w:p>
        </w:tc>
        <w:tc>
          <w:tcPr>
            <w:tcW w:w="1430" w:type="dxa"/>
            <w:shd w:val="clear" w:color="auto" w:fill="auto"/>
            <w:noWrap w:val="0"/>
            <w:vAlign w:val="center"/>
          </w:tcPr>
          <w:p>
            <w:pPr>
              <w:pStyle w:val="15"/>
              <w:spacing w:line="360" w:lineRule="exact"/>
              <w:contextualSpacing/>
              <w:rPr>
                <w:rFonts w:ascii="仿宋_GB2312" w:eastAsia="仿宋_GB2312"/>
                <w:color w:val="000000"/>
                <w:sz w:val="24"/>
                <w:szCs w:val="24"/>
              </w:rPr>
            </w:pPr>
            <w:r>
              <w:rPr>
                <w:rFonts w:hint="eastAsia" w:ascii="仿宋_GB2312" w:eastAsia="仿宋_GB2312"/>
                <w:color w:val="000000"/>
                <w:sz w:val="24"/>
                <w:szCs w:val="24"/>
              </w:rPr>
              <w:t>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817" w:type="dxa"/>
            <w:shd w:val="clear" w:color="auto" w:fill="auto"/>
            <w:noWrap w:val="0"/>
            <w:vAlign w:val="center"/>
          </w:tcPr>
          <w:p>
            <w:pPr>
              <w:pStyle w:val="15"/>
              <w:spacing w:line="560" w:lineRule="exact"/>
              <w:contextualSpacing/>
              <w:rPr>
                <w:rFonts w:ascii="仿宋_GB2312" w:eastAsia="仿宋_GB2312"/>
                <w:color w:val="000000"/>
                <w:sz w:val="24"/>
                <w:szCs w:val="24"/>
              </w:rPr>
            </w:pPr>
            <w:r>
              <w:rPr>
                <w:rFonts w:ascii="仿宋_GB2312" w:eastAsia="仿宋_GB2312"/>
                <w:color w:val="000000"/>
                <w:sz w:val="24"/>
                <w:szCs w:val="24"/>
              </w:rPr>
              <w:t>12</w:t>
            </w:r>
          </w:p>
        </w:tc>
        <w:tc>
          <w:tcPr>
            <w:tcW w:w="4641" w:type="dxa"/>
            <w:shd w:val="clear" w:color="auto" w:fill="auto"/>
            <w:noWrap w:val="0"/>
            <w:vAlign w:val="center"/>
          </w:tcPr>
          <w:p>
            <w:pPr>
              <w:pStyle w:val="15"/>
              <w:spacing w:line="360" w:lineRule="exact"/>
              <w:contextualSpacing/>
              <w:rPr>
                <w:rFonts w:ascii="仿宋_GB2312" w:eastAsia="仿宋_GB2312"/>
                <w:color w:val="000000"/>
                <w:sz w:val="24"/>
                <w:szCs w:val="24"/>
              </w:rPr>
            </w:pPr>
            <w:r>
              <w:rPr>
                <w:rFonts w:hint="eastAsia" w:ascii="仿宋_GB2312" w:eastAsia="仿宋_GB2312"/>
                <w:color w:val="000000"/>
                <w:sz w:val="24"/>
                <w:szCs w:val="24"/>
              </w:rPr>
              <w:t>松山区那戈营子玄武岩重点勘查开采区</w:t>
            </w:r>
          </w:p>
        </w:tc>
        <w:tc>
          <w:tcPr>
            <w:tcW w:w="2693" w:type="dxa"/>
            <w:shd w:val="clear" w:color="auto" w:fill="auto"/>
            <w:noWrap w:val="0"/>
            <w:vAlign w:val="center"/>
          </w:tcPr>
          <w:p>
            <w:pPr>
              <w:pStyle w:val="15"/>
              <w:spacing w:line="360" w:lineRule="exact"/>
              <w:contextualSpacing/>
              <w:rPr>
                <w:rFonts w:ascii="仿宋_GB2312" w:eastAsia="仿宋_GB2312"/>
                <w:color w:val="000000"/>
                <w:sz w:val="24"/>
                <w:szCs w:val="24"/>
              </w:rPr>
            </w:pPr>
            <w:r>
              <w:rPr>
                <w:rFonts w:hint="eastAsia" w:ascii="仿宋_GB2312" w:eastAsia="仿宋_GB2312"/>
                <w:color w:val="000000"/>
                <w:sz w:val="24"/>
                <w:szCs w:val="24"/>
              </w:rPr>
              <w:t>玄武岩</w:t>
            </w:r>
          </w:p>
        </w:tc>
        <w:tc>
          <w:tcPr>
            <w:tcW w:w="1430" w:type="dxa"/>
            <w:shd w:val="clear" w:color="auto" w:fill="auto"/>
            <w:noWrap w:val="0"/>
            <w:vAlign w:val="center"/>
          </w:tcPr>
          <w:p>
            <w:pPr>
              <w:pStyle w:val="15"/>
              <w:spacing w:line="360" w:lineRule="exact"/>
              <w:contextualSpacing/>
              <w:rPr>
                <w:rFonts w:ascii="仿宋_GB2312" w:eastAsia="仿宋_GB2312"/>
                <w:color w:val="000000"/>
                <w:sz w:val="24"/>
                <w:szCs w:val="24"/>
              </w:rPr>
            </w:pPr>
            <w:r>
              <w:rPr>
                <w:rFonts w:hint="eastAsia" w:ascii="仿宋_GB2312" w:eastAsia="仿宋_GB2312"/>
                <w:color w:val="000000"/>
                <w:sz w:val="24"/>
                <w:szCs w:val="24"/>
              </w:rPr>
              <w:t>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exact"/>
          <w:jc w:val="center"/>
        </w:trPr>
        <w:tc>
          <w:tcPr>
            <w:tcW w:w="817" w:type="dxa"/>
            <w:shd w:val="clear" w:color="auto" w:fill="auto"/>
            <w:noWrap w:val="0"/>
            <w:vAlign w:val="center"/>
          </w:tcPr>
          <w:p>
            <w:pPr>
              <w:pStyle w:val="15"/>
              <w:spacing w:line="560" w:lineRule="exact"/>
              <w:contextualSpacing/>
              <w:rPr>
                <w:rFonts w:ascii="仿宋_GB2312" w:eastAsia="仿宋_GB2312"/>
                <w:color w:val="000000"/>
                <w:sz w:val="24"/>
                <w:szCs w:val="24"/>
              </w:rPr>
            </w:pPr>
            <w:r>
              <w:rPr>
                <w:rFonts w:ascii="仿宋_GB2312" w:eastAsia="仿宋_GB2312"/>
                <w:color w:val="000000"/>
                <w:sz w:val="24"/>
                <w:szCs w:val="24"/>
              </w:rPr>
              <w:t>13</w:t>
            </w:r>
          </w:p>
        </w:tc>
        <w:tc>
          <w:tcPr>
            <w:tcW w:w="4641" w:type="dxa"/>
            <w:shd w:val="clear" w:color="auto" w:fill="auto"/>
            <w:noWrap w:val="0"/>
            <w:vAlign w:val="center"/>
          </w:tcPr>
          <w:p>
            <w:pPr>
              <w:pStyle w:val="15"/>
              <w:spacing w:line="360" w:lineRule="exact"/>
              <w:contextualSpacing/>
              <w:rPr>
                <w:rFonts w:ascii="仿宋_GB2312" w:eastAsia="仿宋_GB2312"/>
                <w:color w:val="000000"/>
                <w:sz w:val="24"/>
                <w:szCs w:val="24"/>
              </w:rPr>
            </w:pPr>
            <w:r>
              <w:rPr>
                <w:rFonts w:hint="eastAsia" w:ascii="仿宋_GB2312" w:eastAsia="仿宋_GB2312"/>
                <w:color w:val="000000"/>
                <w:sz w:val="24"/>
                <w:szCs w:val="24"/>
              </w:rPr>
              <w:t>宁城县忙农镇刘家营子膨润土</w:t>
            </w:r>
          </w:p>
          <w:p>
            <w:pPr>
              <w:pStyle w:val="15"/>
              <w:spacing w:line="360" w:lineRule="exact"/>
              <w:contextualSpacing/>
              <w:rPr>
                <w:rFonts w:ascii="仿宋_GB2312" w:eastAsia="仿宋_GB2312"/>
                <w:color w:val="000000"/>
                <w:sz w:val="24"/>
                <w:szCs w:val="24"/>
              </w:rPr>
            </w:pPr>
            <w:r>
              <w:rPr>
                <w:rFonts w:hint="eastAsia" w:ascii="仿宋_GB2312" w:eastAsia="仿宋_GB2312"/>
                <w:color w:val="000000"/>
                <w:sz w:val="24"/>
                <w:szCs w:val="24"/>
              </w:rPr>
              <w:t>重点勘查开采区</w:t>
            </w:r>
          </w:p>
        </w:tc>
        <w:tc>
          <w:tcPr>
            <w:tcW w:w="2693" w:type="dxa"/>
            <w:shd w:val="clear" w:color="auto" w:fill="auto"/>
            <w:noWrap w:val="0"/>
            <w:vAlign w:val="center"/>
          </w:tcPr>
          <w:p>
            <w:pPr>
              <w:pStyle w:val="15"/>
              <w:spacing w:line="360" w:lineRule="exact"/>
              <w:contextualSpacing/>
              <w:rPr>
                <w:rFonts w:ascii="仿宋_GB2312" w:eastAsia="仿宋_GB2312"/>
                <w:color w:val="000000"/>
                <w:sz w:val="24"/>
                <w:szCs w:val="24"/>
              </w:rPr>
            </w:pPr>
            <w:r>
              <w:rPr>
                <w:rFonts w:hint="eastAsia" w:ascii="仿宋_GB2312" w:eastAsia="仿宋_GB2312"/>
                <w:color w:val="000000"/>
                <w:sz w:val="24"/>
                <w:szCs w:val="24"/>
              </w:rPr>
              <w:t>膨润土</w:t>
            </w:r>
          </w:p>
        </w:tc>
        <w:tc>
          <w:tcPr>
            <w:tcW w:w="1430" w:type="dxa"/>
            <w:shd w:val="clear" w:color="auto" w:fill="auto"/>
            <w:noWrap w:val="0"/>
            <w:vAlign w:val="center"/>
          </w:tcPr>
          <w:p>
            <w:pPr>
              <w:pStyle w:val="15"/>
              <w:spacing w:line="360" w:lineRule="exact"/>
              <w:contextualSpacing/>
              <w:rPr>
                <w:rFonts w:ascii="仿宋_GB2312" w:eastAsia="仿宋_GB2312"/>
                <w:color w:val="000000"/>
                <w:sz w:val="24"/>
                <w:szCs w:val="24"/>
              </w:rPr>
            </w:pPr>
            <w:r>
              <w:rPr>
                <w:rFonts w:hint="eastAsia" w:ascii="仿宋_GB2312" w:eastAsia="仿宋_GB2312"/>
                <w:color w:val="000000"/>
                <w:sz w:val="24"/>
                <w:szCs w:val="24"/>
              </w:rPr>
              <w:t>市级</w:t>
            </w:r>
          </w:p>
        </w:tc>
      </w:tr>
    </w:tbl>
    <w:p>
      <w:pPr>
        <w:spacing w:line="560" w:lineRule="exact"/>
        <w:ind w:firstLine="640"/>
        <w:contextualSpacing/>
        <w:rPr>
          <w:rFonts w:ascii="仿宋_GB2312" w:eastAsia="仿宋_GB2312"/>
          <w:sz w:val="24"/>
          <w:szCs w:val="24"/>
        </w:rPr>
      </w:pPr>
    </w:p>
    <w:p>
      <w:pPr>
        <w:spacing w:line="560" w:lineRule="exact"/>
        <w:ind w:firstLine="640"/>
        <w:contextualSpacing/>
        <w:rPr>
          <w:rFonts w:ascii="仿宋_GB2312" w:eastAsia="仿宋_GB2312"/>
          <w:sz w:val="32"/>
          <w:szCs w:val="32"/>
        </w:rPr>
      </w:pPr>
      <w:r>
        <w:rPr>
          <w:rFonts w:hint="eastAsia" w:ascii="仿宋_GB2312" w:eastAsia="仿宋_GB2312"/>
          <w:sz w:val="32"/>
          <w:szCs w:val="32"/>
        </w:rPr>
        <w:t>国家和自治区级重点勘查开采区优先部署基础性地质工作和基金项目。区内严禁将矿产地化大为小、分割出让。在有望形成找矿重大突破的区域，编制统一部署的实施方案，并根据阶段性成果对勘查工作进行科学调整，立足于寻找大中型矿产地，进一步提高铅、锌、银、锂等优势矿产资源储量。</w:t>
      </w:r>
    </w:p>
    <w:p>
      <w:pPr>
        <w:spacing w:line="560" w:lineRule="exact"/>
        <w:ind w:firstLine="640"/>
        <w:contextualSpacing/>
        <w:rPr>
          <w:rFonts w:ascii="仿宋_GB2312" w:eastAsia="仿宋_GB2312"/>
          <w:sz w:val="32"/>
          <w:szCs w:val="32"/>
        </w:rPr>
      </w:pPr>
      <w:r>
        <w:rPr>
          <w:rFonts w:hint="eastAsia" w:ascii="仿宋_GB2312" w:eastAsia="仿宋_GB2312"/>
          <w:sz w:val="32"/>
          <w:szCs w:val="32"/>
        </w:rPr>
        <w:t>市级重点勘查开采区内积极推动社会资金投入，提高地质工作程度，降低找矿风险，加大找矿力度，发现一批可供开发利用的矿产地。加强矿产资源监管和保护工作，新建矿山按照集约化、规模化、绿色发展的原则进行建设；已有矿山以优化矿业布局和产业结构为目的，鼓励矿山企业依法进行资源和产业整合。石灰岩、膨润土等非金属资源，结合当地产业规划，有序开采，提高资源利用效率。重点推进喀喇沁旗楼子店地区石灰岩矿区整合，达到对明安山灰岩资源集中开发、地质环境统一规划及治理的目的。</w:t>
      </w:r>
    </w:p>
    <w:p>
      <w:pPr>
        <w:spacing w:line="560" w:lineRule="exact"/>
        <w:ind w:firstLine="640"/>
        <w:contextualSpacing/>
        <w:rPr>
          <w:rFonts w:ascii="仿宋_GB2312" w:eastAsia="仿宋_GB2312"/>
          <w:sz w:val="32"/>
          <w:szCs w:val="32"/>
        </w:rPr>
      </w:pPr>
      <w:r>
        <w:rPr>
          <w:rFonts w:hint="eastAsia" w:ascii="仿宋_GB2312" w:eastAsia="仿宋_GB2312"/>
          <w:sz w:val="32"/>
          <w:szCs w:val="32"/>
        </w:rPr>
        <w:t>各级规划区内全面推进绿色勘查，选择对环境影响小的勘查方法，最大限度地减少对环境造成的破坏。</w:t>
      </w:r>
    </w:p>
    <w:p>
      <w:pPr>
        <w:pStyle w:val="5"/>
        <w:ind w:firstLine="640"/>
        <w:rPr>
          <w:szCs w:val="32"/>
        </w:rPr>
      </w:pPr>
      <w:r>
        <w:rPr>
          <w:rFonts w:hint="eastAsia"/>
          <w:szCs w:val="32"/>
        </w:rPr>
        <w:t>二、建筑用砂石</w:t>
      </w:r>
      <w:r>
        <w:rPr>
          <w:rStyle w:val="16"/>
          <w:rFonts w:hint="eastAsia" w:ascii="仿宋_GB2312" w:hAnsi="仿宋" w:eastAsia="仿宋_GB2312"/>
          <w:b/>
          <w:color w:val="auto"/>
        </w:rPr>
        <w:t>土</w:t>
      </w:r>
      <w:r>
        <w:rPr>
          <w:rFonts w:hint="eastAsia"/>
          <w:szCs w:val="32"/>
        </w:rPr>
        <w:t>集中开采区</w:t>
      </w:r>
    </w:p>
    <w:p>
      <w:pPr>
        <w:spacing w:line="560" w:lineRule="exact"/>
        <w:ind w:firstLine="640"/>
        <w:contextualSpacing/>
        <w:rPr>
          <w:rFonts w:ascii="仿宋_GB2312" w:eastAsia="仿宋_GB2312"/>
          <w:sz w:val="32"/>
          <w:szCs w:val="32"/>
        </w:rPr>
      </w:pPr>
      <w:r>
        <w:rPr>
          <w:rFonts w:hint="eastAsia" w:ascii="仿宋_GB2312" w:eastAsia="仿宋_GB2312"/>
          <w:sz w:val="32"/>
          <w:szCs w:val="32"/>
        </w:rPr>
        <w:t>根据基础建设需求，结合各地产业政策、经济社会发展要求，划定建筑用砂石土集中开采区。集中开采区具有一定生态环境承载能力，区内现有矿山或拟设开采规划区块能实现相对规模开发、集中生态修复以及矿产综合开发利用。划定集中开采区</w:t>
      </w:r>
      <w:r>
        <w:rPr>
          <w:rFonts w:ascii="仿宋_GB2312" w:eastAsia="仿宋_GB2312"/>
          <w:sz w:val="32"/>
          <w:szCs w:val="32"/>
        </w:rPr>
        <w:t>27个，开采矿种为建筑用砂、建筑用碎石，总面积757.80平方千米。</w:t>
      </w:r>
    </w:p>
    <w:p>
      <w:pPr>
        <w:spacing w:line="560" w:lineRule="exact"/>
        <w:ind w:firstLine="640"/>
        <w:contextualSpacing/>
        <w:rPr>
          <w:rFonts w:ascii="仿宋_GB2312" w:eastAsia="仿宋_GB2312"/>
          <w:sz w:val="32"/>
          <w:szCs w:val="32"/>
        </w:rPr>
      </w:pPr>
    </w:p>
    <w:p>
      <w:pPr>
        <w:pStyle w:val="13"/>
        <w:spacing w:line="560" w:lineRule="exact"/>
        <w:ind w:firstLine="0" w:firstLineChars="0"/>
        <w:contextualSpacing/>
        <w:jc w:val="center"/>
        <w:rPr>
          <w:rFonts w:ascii="黑体" w:hAnsi="黑体" w:eastAsia="黑体"/>
          <w:color w:val="auto"/>
          <w:sz w:val="24"/>
          <w:szCs w:val="24"/>
        </w:rPr>
      </w:pPr>
      <w:r>
        <w:rPr>
          <w:rFonts w:hint="eastAsia" w:ascii="黑体" w:hAnsi="黑体" w:eastAsia="黑体"/>
          <w:color w:val="auto"/>
          <w:sz w:val="24"/>
          <w:szCs w:val="24"/>
        </w:rPr>
        <w:t>专栏</w:t>
      </w:r>
      <w:r>
        <w:rPr>
          <w:rFonts w:ascii="黑体" w:hAnsi="黑体" w:eastAsia="黑体"/>
          <w:color w:val="auto"/>
          <w:sz w:val="24"/>
          <w:szCs w:val="24"/>
        </w:rPr>
        <w:t xml:space="preserve">5 </w:t>
      </w:r>
      <w:r>
        <w:rPr>
          <w:rFonts w:hint="eastAsia" w:ascii="黑体" w:hAnsi="黑体" w:eastAsia="黑体"/>
          <w:color w:val="auto"/>
          <w:sz w:val="24"/>
          <w:szCs w:val="24"/>
        </w:rPr>
        <w:t>赤峰市建筑用砂石土集中开采区</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8"/>
        <w:gridCol w:w="2999"/>
        <w:gridCol w:w="1069"/>
        <w:gridCol w:w="3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627" w:type="pct"/>
            <w:shd w:val="clear" w:color="auto" w:fill="auto"/>
            <w:noWrap w:val="0"/>
            <w:vAlign w:val="top"/>
          </w:tcPr>
          <w:p>
            <w:pPr>
              <w:pStyle w:val="13"/>
              <w:spacing w:line="560" w:lineRule="exact"/>
              <w:ind w:firstLine="0" w:firstLineChars="0"/>
              <w:contextualSpacing/>
              <w:jc w:val="center"/>
              <w:rPr>
                <w:rFonts w:ascii="黑体" w:hAnsi="黑体" w:eastAsia="黑体"/>
                <w:color w:val="auto"/>
                <w:sz w:val="24"/>
                <w:szCs w:val="24"/>
              </w:rPr>
            </w:pPr>
            <w:r>
              <w:rPr>
                <w:rFonts w:hint="eastAsia" w:ascii="黑体" w:hAnsi="黑体" w:eastAsia="黑体"/>
                <w:color w:val="auto"/>
                <w:sz w:val="24"/>
                <w:szCs w:val="24"/>
              </w:rPr>
              <w:t>序号</w:t>
            </w:r>
          </w:p>
        </w:tc>
        <w:tc>
          <w:tcPr>
            <w:tcW w:w="1759" w:type="pct"/>
            <w:shd w:val="clear" w:color="auto" w:fill="auto"/>
            <w:noWrap w:val="0"/>
            <w:vAlign w:val="top"/>
          </w:tcPr>
          <w:p>
            <w:pPr>
              <w:pStyle w:val="13"/>
              <w:spacing w:line="560" w:lineRule="exact"/>
              <w:ind w:firstLine="0" w:firstLineChars="0"/>
              <w:contextualSpacing/>
              <w:jc w:val="center"/>
              <w:rPr>
                <w:rFonts w:ascii="黑体" w:hAnsi="黑体" w:eastAsia="黑体"/>
                <w:color w:val="auto"/>
                <w:sz w:val="24"/>
                <w:szCs w:val="24"/>
              </w:rPr>
            </w:pPr>
            <w:r>
              <w:rPr>
                <w:rFonts w:hint="eastAsia" w:ascii="黑体" w:hAnsi="黑体" w:eastAsia="黑体"/>
                <w:color w:val="auto"/>
                <w:sz w:val="24"/>
                <w:szCs w:val="24"/>
              </w:rPr>
              <w:t>集中开采区类型</w:t>
            </w:r>
          </w:p>
        </w:tc>
        <w:tc>
          <w:tcPr>
            <w:tcW w:w="627" w:type="pct"/>
            <w:shd w:val="clear" w:color="auto" w:fill="auto"/>
            <w:noWrap w:val="0"/>
            <w:vAlign w:val="top"/>
          </w:tcPr>
          <w:p>
            <w:pPr>
              <w:pStyle w:val="13"/>
              <w:spacing w:line="560" w:lineRule="exact"/>
              <w:ind w:firstLine="0" w:firstLineChars="0"/>
              <w:contextualSpacing/>
              <w:jc w:val="center"/>
              <w:rPr>
                <w:rFonts w:ascii="黑体" w:hAnsi="黑体" w:eastAsia="黑体"/>
                <w:color w:val="auto"/>
                <w:sz w:val="24"/>
                <w:szCs w:val="24"/>
              </w:rPr>
            </w:pPr>
            <w:r>
              <w:rPr>
                <w:rFonts w:hint="eastAsia" w:ascii="黑体" w:hAnsi="黑体" w:eastAsia="黑体"/>
                <w:color w:val="auto"/>
                <w:sz w:val="24"/>
                <w:szCs w:val="24"/>
              </w:rPr>
              <w:t>数量</w:t>
            </w:r>
          </w:p>
        </w:tc>
        <w:tc>
          <w:tcPr>
            <w:tcW w:w="1986" w:type="pct"/>
            <w:shd w:val="clear" w:color="auto" w:fill="auto"/>
            <w:noWrap w:val="0"/>
            <w:vAlign w:val="top"/>
          </w:tcPr>
          <w:p>
            <w:pPr>
              <w:pStyle w:val="13"/>
              <w:spacing w:line="560" w:lineRule="exact"/>
              <w:ind w:firstLine="480"/>
              <w:contextualSpacing/>
              <w:jc w:val="center"/>
              <w:rPr>
                <w:rFonts w:ascii="黑体" w:hAnsi="黑体" w:eastAsia="黑体"/>
                <w:color w:val="auto"/>
                <w:sz w:val="24"/>
                <w:szCs w:val="24"/>
              </w:rPr>
            </w:pPr>
            <w:r>
              <w:rPr>
                <w:rFonts w:hint="eastAsia" w:ascii="黑体" w:hAnsi="黑体" w:eastAsia="黑体"/>
                <w:color w:val="auto"/>
                <w:sz w:val="24"/>
                <w:szCs w:val="24"/>
              </w:rPr>
              <w:t>面积（平方千米）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627" w:type="pct"/>
            <w:shd w:val="clear" w:color="auto" w:fill="auto"/>
            <w:noWrap w:val="0"/>
            <w:vAlign w:val="top"/>
          </w:tcPr>
          <w:p>
            <w:pPr>
              <w:pStyle w:val="13"/>
              <w:spacing w:line="560" w:lineRule="exact"/>
              <w:ind w:firstLine="0" w:firstLineChars="0"/>
              <w:contextualSpacing/>
              <w:jc w:val="center"/>
              <w:rPr>
                <w:rFonts w:ascii="仿宋_GB2312" w:hAnsi="宋体" w:eastAsia="仿宋_GB2312"/>
                <w:color w:val="auto"/>
                <w:sz w:val="24"/>
                <w:szCs w:val="24"/>
              </w:rPr>
            </w:pPr>
            <w:r>
              <w:rPr>
                <w:rFonts w:ascii="仿宋_GB2312" w:hAnsi="宋体" w:eastAsia="仿宋_GB2312"/>
                <w:color w:val="auto"/>
                <w:sz w:val="24"/>
                <w:szCs w:val="24"/>
              </w:rPr>
              <w:t>1</w:t>
            </w:r>
          </w:p>
        </w:tc>
        <w:tc>
          <w:tcPr>
            <w:tcW w:w="1759" w:type="pct"/>
            <w:shd w:val="clear" w:color="auto" w:fill="auto"/>
            <w:noWrap w:val="0"/>
            <w:vAlign w:val="top"/>
          </w:tcPr>
          <w:p>
            <w:pPr>
              <w:pStyle w:val="13"/>
              <w:spacing w:line="560" w:lineRule="exact"/>
              <w:ind w:firstLine="0" w:firstLineChars="0"/>
              <w:contextualSpacing/>
              <w:jc w:val="center"/>
              <w:rPr>
                <w:rFonts w:ascii="仿宋_GB2312" w:hAnsi="宋体" w:eastAsia="仿宋_GB2312"/>
                <w:color w:val="auto"/>
                <w:sz w:val="24"/>
                <w:szCs w:val="24"/>
              </w:rPr>
            </w:pPr>
            <w:r>
              <w:rPr>
                <w:rFonts w:hint="eastAsia" w:ascii="仿宋_GB2312" w:hAnsi="宋体" w:eastAsia="仿宋_GB2312"/>
                <w:color w:val="auto"/>
                <w:sz w:val="24"/>
                <w:szCs w:val="24"/>
              </w:rPr>
              <w:t>建筑用碎石、砂</w:t>
            </w:r>
          </w:p>
        </w:tc>
        <w:tc>
          <w:tcPr>
            <w:tcW w:w="627" w:type="pct"/>
            <w:shd w:val="clear" w:color="auto" w:fill="auto"/>
            <w:noWrap w:val="0"/>
            <w:vAlign w:val="top"/>
          </w:tcPr>
          <w:p>
            <w:pPr>
              <w:pStyle w:val="13"/>
              <w:spacing w:line="560" w:lineRule="exact"/>
              <w:ind w:firstLine="0" w:firstLineChars="0"/>
              <w:contextualSpacing/>
              <w:jc w:val="center"/>
              <w:rPr>
                <w:rFonts w:ascii="仿宋_GB2312" w:hAnsi="宋体" w:eastAsia="仿宋_GB2312"/>
                <w:color w:val="auto"/>
                <w:sz w:val="24"/>
                <w:szCs w:val="24"/>
              </w:rPr>
            </w:pPr>
            <w:r>
              <w:rPr>
                <w:rFonts w:ascii="仿宋_GB2312" w:hAnsi="宋体" w:eastAsia="仿宋_GB2312"/>
                <w:color w:val="auto"/>
                <w:sz w:val="24"/>
                <w:szCs w:val="24"/>
              </w:rPr>
              <w:t>2</w:t>
            </w:r>
          </w:p>
        </w:tc>
        <w:tc>
          <w:tcPr>
            <w:tcW w:w="1986" w:type="pct"/>
            <w:shd w:val="clear" w:color="auto" w:fill="auto"/>
            <w:noWrap w:val="0"/>
            <w:vAlign w:val="top"/>
          </w:tcPr>
          <w:p>
            <w:pPr>
              <w:pStyle w:val="13"/>
              <w:spacing w:line="560" w:lineRule="exact"/>
              <w:ind w:firstLine="0" w:firstLineChars="0"/>
              <w:contextualSpacing/>
              <w:jc w:val="center"/>
              <w:rPr>
                <w:rFonts w:ascii="仿宋_GB2312" w:hAnsi="宋体" w:eastAsia="仿宋_GB2312"/>
                <w:color w:val="auto"/>
                <w:sz w:val="24"/>
                <w:szCs w:val="24"/>
              </w:rPr>
            </w:pPr>
            <w:r>
              <w:rPr>
                <w:rFonts w:ascii="仿宋_GB2312" w:hAnsi="宋体" w:eastAsia="仿宋_GB2312"/>
                <w:color w:val="auto"/>
                <w:sz w:val="24"/>
                <w:szCs w:val="24"/>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7" w:type="pct"/>
            <w:shd w:val="clear" w:color="auto" w:fill="auto"/>
            <w:noWrap w:val="0"/>
            <w:vAlign w:val="top"/>
          </w:tcPr>
          <w:p>
            <w:pPr>
              <w:pStyle w:val="13"/>
              <w:spacing w:line="560" w:lineRule="exact"/>
              <w:ind w:firstLine="0" w:firstLineChars="0"/>
              <w:contextualSpacing/>
              <w:jc w:val="center"/>
              <w:rPr>
                <w:rFonts w:ascii="仿宋_GB2312" w:hAnsi="宋体" w:eastAsia="仿宋_GB2312"/>
                <w:color w:val="auto"/>
                <w:sz w:val="24"/>
                <w:szCs w:val="24"/>
              </w:rPr>
            </w:pPr>
            <w:r>
              <w:rPr>
                <w:rFonts w:ascii="仿宋_GB2312" w:hAnsi="宋体" w:eastAsia="仿宋_GB2312"/>
                <w:color w:val="auto"/>
                <w:sz w:val="24"/>
                <w:szCs w:val="24"/>
              </w:rPr>
              <w:t>2</w:t>
            </w:r>
          </w:p>
        </w:tc>
        <w:tc>
          <w:tcPr>
            <w:tcW w:w="1759" w:type="pct"/>
            <w:shd w:val="clear" w:color="auto" w:fill="auto"/>
            <w:noWrap w:val="0"/>
            <w:vAlign w:val="top"/>
          </w:tcPr>
          <w:p>
            <w:pPr>
              <w:pStyle w:val="13"/>
              <w:spacing w:line="560" w:lineRule="exact"/>
              <w:ind w:firstLine="0" w:firstLineChars="0"/>
              <w:contextualSpacing/>
              <w:jc w:val="center"/>
              <w:rPr>
                <w:rFonts w:ascii="仿宋_GB2312" w:hAnsi="宋体" w:eastAsia="仿宋_GB2312"/>
                <w:color w:val="auto"/>
                <w:sz w:val="24"/>
                <w:szCs w:val="24"/>
              </w:rPr>
            </w:pPr>
            <w:r>
              <w:rPr>
                <w:rFonts w:hint="eastAsia" w:ascii="仿宋_GB2312" w:hAnsi="宋体" w:eastAsia="仿宋_GB2312"/>
                <w:color w:val="auto"/>
                <w:sz w:val="24"/>
                <w:szCs w:val="24"/>
              </w:rPr>
              <w:t>建筑用碎石</w:t>
            </w:r>
          </w:p>
        </w:tc>
        <w:tc>
          <w:tcPr>
            <w:tcW w:w="627" w:type="pct"/>
            <w:shd w:val="clear" w:color="auto" w:fill="auto"/>
            <w:noWrap w:val="0"/>
            <w:vAlign w:val="top"/>
          </w:tcPr>
          <w:p>
            <w:pPr>
              <w:pStyle w:val="13"/>
              <w:spacing w:line="560" w:lineRule="exact"/>
              <w:ind w:firstLine="0" w:firstLineChars="0"/>
              <w:contextualSpacing/>
              <w:jc w:val="center"/>
              <w:rPr>
                <w:rFonts w:ascii="仿宋_GB2312" w:hAnsi="宋体" w:eastAsia="仿宋_GB2312"/>
                <w:color w:val="auto"/>
                <w:sz w:val="24"/>
                <w:szCs w:val="24"/>
              </w:rPr>
            </w:pPr>
            <w:r>
              <w:rPr>
                <w:rFonts w:ascii="仿宋_GB2312" w:hAnsi="宋体" w:eastAsia="仿宋_GB2312"/>
                <w:color w:val="auto"/>
                <w:sz w:val="24"/>
                <w:szCs w:val="24"/>
              </w:rPr>
              <w:t>20</w:t>
            </w:r>
          </w:p>
        </w:tc>
        <w:tc>
          <w:tcPr>
            <w:tcW w:w="1986" w:type="pct"/>
            <w:shd w:val="clear" w:color="auto" w:fill="auto"/>
            <w:noWrap w:val="0"/>
            <w:vAlign w:val="top"/>
          </w:tcPr>
          <w:p>
            <w:pPr>
              <w:pStyle w:val="13"/>
              <w:spacing w:line="560" w:lineRule="exact"/>
              <w:ind w:firstLine="0" w:firstLineChars="0"/>
              <w:contextualSpacing/>
              <w:jc w:val="center"/>
              <w:rPr>
                <w:rFonts w:ascii="仿宋_GB2312" w:hAnsi="宋体" w:eastAsia="仿宋_GB2312"/>
                <w:color w:val="auto"/>
                <w:sz w:val="24"/>
                <w:szCs w:val="24"/>
              </w:rPr>
            </w:pPr>
            <w:r>
              <w:rPr>
                <w:rFonts w:ascii="仿宋_GB2312" w:hAnsi="宋体" w:eastAsia="仿宋_GB2312"/>
                <w:color w:val="auto"/>
                <w:sz w:val="24"/>
                <w:szCs w:val="24"/>
              </w:rPr>
              <w:t>539.36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7" w:type="pct"/>
            <w:shd w:val="clear" w:color="auto" w:fill="auto"/>
            <w:noWrap w:val="0"/>
            <w:vAlign w:val="top"/>
          </w:tcPr>
          <w:p>
            <w:pPr>
              <w:pStyle w:val="13"/>
              <w:spacing w:line="560" w:lineRule="exact"/>
              <w:ind w:firstLine="0" w:firstLineChars="0"/>
              <w:contextualSpacing/>
              <w:jc w:val="center"/>
              <w:rPr>
                <w:rFonts w:ascii="仿宋_GB2312" w:hAnsi="宋体" w:eastAsia="仿宋_GB2312"/>
                <w:color w:val="auto"/>
                <w:sz w:val="24"/>
                <w:szCs w:val="24"/>
              </w:rPr>
            </w:pPr>
            <w:r>
              <w:rPr>
                <w:rFonts w:ascii="仿宋_GB2312" w:hAnsi="宋体" w:eastAsia="仿宋_GB2312"/>
                <w:color w:val="auto"/>
                <w:sz w:val="24"/>
                <w:szCs w:val="24"/>
              </w:rPr>
              <w:t>3</w:t>
            </w:r>
          </w:p>
        </w:tc>
        <w:tc>
          <w:tcPr>
            <w:tcW w:w="1759" w:type="pct"/>
            <w:shd w:val="clear" w:color="auto" w:fill="auto"/>
            <w:noWrap w:val="0"/>
            <w:vAlign w:val="top"/>
          </w:tcPr>
          <w:p>
            <w:pPr>
              <w:pStyle w:val="13"/>
              <w:spacing w:line="560" w:lineRule="exact"/>
              <w:ind w:firstLine="0" w:firstLineChars="0"/>
              <w:contextualSpacing/>
              <w:jc w:val="center"/>
              <w:rPr>
                <w:rFonts w:ascii="仿宋_GB2312" w:hAnsi="宋体" w:eastAsia="仿宋_GB2312"/>
                <w:color w:val="auto"/>
                <w:sz w:val="24"/>
                <w:szCs w:val="24"/>
              </w:rPr>
            </w:pPr>
            <w:r>
              <w:rPr>
                <w:rFonts w:hint="eastAsia" w:ascii="仿宋_GB2312" w:hAnsi="宋体" w:eastAsia="仿宋_GB2312"/>
                <w:color w:val="auto"/>
                <w:sz w:val="24"/>
                <w:szCs w:val="24"/>
              </w:rPr>
              <w:t>建筑用砂</w:t>
            </w:r>
          </w:p>
        </w:tc>
        <w:tc>
          <w:tcPr>
            <w:tcW w:w="627" w:type="pct"/>
            <w:shd w:val="clear" w:color="auto" w:fill="auto"/>
            <w:noWrap w:val="0"/>
            <w:vAlign w:val="top"/>
          </w:tcPr>
          <w:p>
            <w:pPr>
              <w:pStyle w:val="13"/>
              <w:spacing w:line="560" w:lineRule="exact"/>
              <w:ind w:firstLine="0" w:firstLineChars="0"/>
              <w:contextualSpacing/>
              <w:jc w:val="center"/>
              <w:rPr>
                <w:rFonts w:ascii="仿宋_GB2312" w:hAnsi="宋体" w:eastAsia="仿宋_GB2312"/>
                <w:color w:val="auto"/>
                <w:sz w:val="24"/>
                <w:szCs w:val="24"/>
              </w:rPr>
            </w:pPr>
            <w:r>
              <w:rPr>
                <w:rFonts w:ascii="仿宋_GB2312" w:hAnsi="宋体" w:eastAsia="仿宋_GB2312"/>
                <w:color w:val="auto"/>
                <w:sz w:val="24"/>
                <w:szCs w:val="24"/>
              </w:rPr>
              <w:t>5</w:t>
            </w:r>
          </w:p>
        </w:tc>
        <w:tc>
          <w:tcPr>
            <w:tcW w:w="1986" w:type="pct"/>
            <w:shd w:val="clear" w:color="auto" w:fill="auto"/>
            <w:noWrap w:val="0"/>
            <w:vAlign w:val="top"/>
          </w:tcPr>
          <w:p>
            <w:pPr>
              <w:pStyle w:val="13"/>
              <w:spacing w:line="560" w:lineRule="exact"/>
              <w:ind w:firstLine="0" w:firstLineChars="0"/>
              <w:contextualSpacing/>
              <w:jc w:val="center"/>
              <w:rPr>
                <w:rFonts w:ascii="仿宋_GB2312" w:hAnsi="宋体" w:eastAsia="仿宋_GB2312"/>
                <w:color w:val="auto"/>
                <w:sz w:val="24"/>
                <w:szCs w:val="24"/>
              </w:rPr>
            </w:pPr>
            <w:r>
              <w:rPr>
                <w:rFonts w:ascii="仿宋_GB2312" w:hAnsi="宋体" w:eastAsia="仿宋_GB2312"/>
                <w:color w:val="auto"/>
                <w:sz w:val="24"/>
                <w:szCs w:val="24"/>
              </w:rPr>
              <w:t>164.27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7" w:type="pct"/>
            <w:shd w:val="clear" w:color="auto" w:fill="auto"/>
            <w:noWrap w:val="0"/>
            <w:vAlign w:val="top"/>
          </w:tcPr>
          <w:p>
            <w:pPr>
              <w:pStyle w:val="13"/>
              <w:spacing w:line="560" w:lineRule="exact"/>
              <w:ind w:firstLine="240" w:firstLineChars="100"/>
              <w:contextualSpacing/>
              <w:rPr>
                <w:rFonts w:ascii="仿宋_GB2312" w:hAnsi="宋体" w:eastAsia="仿宋_GB2312"/>
                <w:color w:val="auto"/>
                <w:sz w:val="24"/>
                <w:szCs w:val="24"/>
              </w:rPr>
            </w:pPr>
            <w:r>
              <w:rPr>
                <w:rFonts w:hint="eastAsia" w:ascii="仿宋_GB2312" w:hAnsi="宋体" w:eastAsia="仿宋_GB2312"/>
                <w:color w:val="auto"/>
                <w:sz w:val="24"/>
                <w:szCs w:val="24"/>
              </w:rPr>
              <w:t>合计</w:t>
            </w:r>
          </w:p>
        </w:tc>
        <w:tc>
          <w:tcPr>
            <w:tcW w:w="1759" w:type="pct"/>
            <w:shd w:val="clear" w:color="auto" w:fill="auto"/>
            <w:noWrap w:val="0"/>
            <w:vAlign w:val="top"/>
          </w:tcPr>
          <w:p>
            <w:pPr>
              <w:pStyle w:val="13"/>
              <w:spacing w:line="560" w:lineRule="exact"/>
              <w:ind w:firstLine="480"/>
              <w:contextualSpacing/>
              <w:rPr>
                <w:rFonts w:ascii="仿宋_GB2312" w:hAnsi="宋体" w:eastAsia="仿宋_GB2312"/>
                <w:color w:val="auto"/>
                <w:sz w:val="24"/>
                <w:szCs w:val="24"/>
              </w:rPr>
            </w:pPr>
          </w:p>
        </w:tc>
        <w:tc>
          <w:tcPr>
            <w:tcW w:w="627" w:type="pct"/>
            <w:shd w:val="clear" w:color="auto" w:fill="auto"/>
            <w:noWrap w:val="0"/>
            <w:vAlign w:val="top"/>
          </w:tcPr>
          <w:p>
            <w:pPr>
              <w:pStyle w:val="13"/>
              <w:spacing w:line="560" w:lineRule="exact"/>
              <w:ind w:firstLine="0" w:firstLineChars="0"/>
              <w:contextualSpacing/>
              <w:jc w:val="center"/>
              <w:rPr>
                <w:rFonts w:ascii="仿宋_GB2312" w:hAnsi="宋体" w:eastAsia="仿宋_GB2312"/>
                <w:color w:val="auto"/>
                <w:sz w:val="24"/>
                <w:szCs w:val="24"/>
              </w:rPr>
            </w:pPr>
            <w:r>
              <w:rPr>
                <w:rFonts w:ascii="仿宋_GB2312" w:hAnsi="宋体" w:eastAsia="仿宋_GB2312"/>
                <w:color w:val="auto"/>
                <w:sz w:val="24"/>
                <w:szCs w:val="24"/>
              </w:rPr>
              <w:t>27</w:t>
            </w:r>
          </w:p>
        </w:tc>
        <w:tc>
          <w:tcPr>
            <w:tcW w:w="1986" w:type="pct"/>
            <w:shd w:val="clear" w:color="auto" w:fill="auto"/>
            <w:noWrap w:val="0"/>
            <w:vAlign w:val="top"/>
          </w:tcPr>
          <w:p>
            <w:pPr>
              <w:pStyle w:val="13"/>
              <w:spacing w:line="560" w:lineRule="exact"/>
              <w:ind w:firstLine="0" w:firstLineChars="0"/>
              <w:contextualSpacing/>
              <w:jc w:val="center"/>
              <w:rPr>
                <w:rFonts w:ascii="仿宋_GB2312" w:hAnsi="宋体" w:eastAsia="仿宋_GB2312"/>
                <w:color w:val="auto"/>
                <w:sz w:val="24"/>
                <w:szCs w:val="24"/>
              </w:rPr>
            </w:pPr>
            <w:r>
              <w:rPr>
                <w:rFonts w:ascii="仿宋_GB2312" w:hAnsi="宋体" w:eastAsia="仿宋_GB2312"/>
                <w:color w:val="auto"/>
                <w:sz w:val="24"/>
                <w:szCs w:val="24"/>
              </w:rPr>
              <w:t>757.80</w:t>
            </w:r>
          </w:p>
        </w:tc>
      </w:tr>
    </w:tbl>
    <w:p>
      <w:pPr>
        <w:spacing w:line="560" w:lineRule="exact"/>
        <w:ind w:firstLine="640"/>
        <w:contextualSpacing/>
        <w:rPr>
          <w:rFonts w:ascii="仿宋_GB2312" w:eastAsia="仿宋_GB2312"/>
          <w:sz w:val="32"/>
          <w:szCs w:val="32"/>
        </w:rPr>
      </w:pPr>
    </w:p>
    <w:p>
      <w:pPr>
        <w:spacing w:line="560" w:lineRule="exact"/>
        <w:ind w:firstLine="640"/>
        <w:contextualSpacing/>
        <w:rPr>
          <w:rFonts w:ascii="仿宋_GB2312" w:eastAsia="仿宋_GB2312"/>
          <w:sz w:val="32"/>
          <w:szCs w:val="32"/>
        </w:rPr>
      </w:pPr>
      <w:r>
        <w:rPr>
          <w:rFonts w:hint="eastAsia" w:ascii="仿宋_GB2312" w:eastAsia="仿宋_GB2312"/>
          <w:sz w:val="32"/>
          <w:szCs w:val="32"/>
        </w:rPr>
        <w:t>各旗县区要落实市级划定的砂石土集中开采区。集中开采区内新设矿业权要符合最低开采规模，建筑用石料矿山开采规模一般不低于</w:t>
      </w:r>
      <w:r>
        <w:rPr>
          <w:rFonts w:ascii="仿宋_GB2312" w:eastAsia="仿宋_GB2312"/>
          <w:sz w:val="32"/>
          <w:szCs w:val="32"/>
        </w:rPr>
        <w:t>5万立方米/年，建筑用砂开采规模一般不低于6万立方米/年。</w:t>
      </w:r>
    </w:p>
    <w:p>
      <w:pPr>
        <w:spacing w:line="560" w:lineRule="exact"/>
        <w:ind w:firstLine="640"/>
        <w:contextualSpacing/>
        <w:rPr>
          <w:rFonts w:ascii="仿宋_GB2312" w:eastAsia="仿宋_GB2312"/>
          <w:sz w:val="32"/>
          <w:szCs w:val="32"/>
        </w:rPr>
      </w:pPr>
      <w:r>
        <w:rPr>
          <w:rFonts w:hint="eastAsia" w:ascii="仿宋_GB2312" w:eastAsia="仿宋_GB2312"/>
          <w:sz w:val="32"/>
          <w:szCs w:val="32"/>
        </w:rPr>
        <w:t>砂石土开采规划区块要明确最低开采规模，规划范围与已设矿业权不得重叠，要严格落实相关国土空间管控要求，与自然保护地、饮用水水源地等区域做好衔接。严禁滥挖滥采、无序开采，严格执行矿山地质环境恢复治理相关要求。</w:t>
      </w:r>
      <w:r>
        <w:rPr>
          <w:rFonts w:ascii="仿宋_GB2312" w:eastAsia="仿宋_GB2312"/>
          <w:sz w:val="32"/>
          <w:szCs w:val="32"/>
        </w:rPr>
        <w:br w:type="page"/>
      </w:r>
    </w:p>
    <w:p>
      <w:pPr>
        <w:pStyle w:val="2"/>
        <w:rPr>
          <w:szCs w:val="32"/>
        </w:rPr>
      </w:pPr>
      <w:bookmarkStart w:id="18" w:name="_Toc106610322"/>
      <w:r>
        <w:rPr>
          <w:rFonts w:hint="eastAsia"/>
          <w:szCs w:val="32"/>
        </w:rPr>
        <w:t>第四章</w:t>
      </w:r>
      <w:r>
        <w:rPr>
          <w:szCs w:val="32"/>
        </w:rPr>
        <w:t xml:space="preserve"> </w:t>
      </w:r>
      <w:r>
        <w:rPr>
          <w:rFonts w:hint="eastAsia"/>
          <w:szCs w:val="32"/>
        </w:rPr>
        <w:t>矿产资源勘查与开发利用</w:t>
      </w:r>
      <w:bookmarkEnd w:id="18"/>
    </w:p>
    <w:p>
      <w:pPr>
        <w:pStyle w:val="3"/>
      </w:pPr>
      <w:bookmarkStart w:id="19" w:name="_Toc106610323"/>
      <w:r>
        <w:rPr>
          <w:rFonts w:hint="eastAsia"/>
        </w:rPr>
        <w:t>第一节</w:t>
      </w:r>
      <w:r>
        <w:t xml:space="preserve"> </w:t>
      </w:r>
      <w:r>
        <w:rPr>
          <w:rFonts w:hint="eastAsia"/>
        </w:rPr>
        <w:t>矿产资源勘查开发调控方向</w:t>
      </w:r>
      <w:bookmarkEnd w:id="19"/>
    </w:p>
    <w:p>
      <w:pPr>
        <w:spacing w:line="560" w:lineRule="exact"/>
        <w:ind w:firstLine="640"/>
        <w:contextualSpacing/>
        <w:rPr>
          <w:rFonts w:ascii="仿宋_GB2312" w:eastAsia="仿宋_GB2312"/>
          <w:sz w:val="32"/>
          <w:szCs w:val="32"/>
        </w:rPr>
      </w:pPr>
      <w:r>
        <w:rPr>
          <w:rFonts w:hint="eastAsia" w:ascii="仿宋_GB2312" w:eastAsia="仿宋_GB2312"/>
          <w:sz w:val="32"/>
          <w:szCs w:val="32"/>
        </w:rPr>
        <w:t>勘查开发以国家战略性矿产、紧缺矿产、赤峰市优势矿产及清洁高效能源矿产为方向，符合生态环境和国家现行政策要求，有保有压，促进全市矿业健康和谐发展。</w:t>
      </w:r>
    </w:p>
    <w:p>
      <w:pPr>
        <w:pStyle w:val="5"/>
        <w:ind w:firstLine="640"/>
        <w:rPr>
          <w:szCs w:val="32"/>
        </w:rPr>
      </w:pPr>
      <w:r>
        <w:rPr>
          <w:rFonts w:hint="eastAsia"/>
          <w:szCs w:val="32"/>
        </w:rPr>
        <w:t>一、矿产资源勘查方向</w:t>
      </w:r>
    </w:p>
    <w:p>
      <w:pPr>
        <w:spacing w:line="560" w:lineRule="exact"/>
        <w:ind w:firstLine="640"/>
        <w:contextualSpacing/>
        <w:rPr>
          <w:rFonts w:ascii="仿宋_GB2312" w:eastAsia="仿宋_GB2312"/>
          <w:sz w:val="32"/>
          <w:szCs w:val="32"/>
        </w:rPr>
      </w:pPr>
      <w:r>
        <w:rPr>
          <w:rFonts w:hint="eastAsia" w:ascii="仿宋_GB2312" w:eastAsia="仿宋_GB2312"/>
          <w:sz w:val="32"/>
          <w:szCs w:val="32"/>
        </w:rPr>
        <w:t>重点勘查富铁、铜、金、锡、锂等战略性矿产，加强地热等非常规能源调查评价和勘查力度，引导各类资金投入，加大勘查力度，提高勘查成效。</w:t>
      </w:r>
    </w:p>
    <w:p>
      <w:pPr>
        <w:spacing w:line="560" w:lineRule="exact"/>
        <w:ind w:firstLine="640"/>
        <w:contextualSpacing/>
        <w:rPr>
          <w:rFonts w:ascii="仿宋_GB2312" w:eastAsia="仿宋_GB2312"/>
          <w:sz w:val="32"/>
          <w:szCs w:val="32"/>
        </w:rPr>
      </w:pPr>
      <w:r>
        <w:rPr>
          <w:rFonts w:hint="eastAsia" w:ascii="仿宋_GB2312" w:eastAsia="仿宋_GB2312"/>
          <w:sz w:val="32"/>
          <w:szCs w:val="32"/>
        </w:rPr>
        <w:t>限制对环境破坏较大的砂金矿产勘查，原则上不再新立此类矿产的勘查项目，确需新立的，必须通过环境影响评估，并征得环保部门同意。</w:t>
      </w:r>
    </w:p>
    <w:p>
      <w:pPr>
        <w:spacing w:line="560" w:lineRule="exact"/>
        <w:ind w:firstLine="640"/>
        <w:contextualSpacing/>
        <w:rPr>
          <w:rFonts w:ascii="仿宋_GB2312" w:eastAsia="仿宋_GB2312"/>
          <w:sz w:val="32"/>
          <w:szCs w:val="32"/>
        </w:rPr>
      </w:pPr>
      <w:r>
        <w:rPr>
          <w:rFonts w:hint="eastAsia" w:ascii="仿宋_GB2312" w:eastAsia="仿宋_GB2312"/>
          <w:sz w:val="32"/>
          <w:szCs w:val="32"/>
        </w:rPr>
        <w:t>禁止勘查超贫磁铁矿。</w:t>
      </w:r>
    </w:p>
    <w:p>
      <w:pPr>
        <w:pStyle w:val="5"/>
        <w:ind w:firstLine="640"/>
        <w:rPr>
          <w:szCs w:val="32"/>
        </w:rPr>
      </w:pPr>
      <w:r>
        <w:rPr>
          <w:rFonts w:hint="eastAsia"/>
          <w:szCs w:val="32"/>
        </w:rPr>
        <w:t>二、矿产资源开采方向</w:t>
      </w:r>
    </w:p>
    <w:p>
      <w:pPr>
        <w:spacing w:line="560" w:lineRule="exact"/>
        <w:ind w:firstLine="640"/>
        <w:contextualSpacing/>
        <w:rPr>
          <w:rFonts w:ascii="仿宋_GB2312" w:eastAsia="仿宋_GB2312"/>
          <w:sz w:val="32"/>
          <w:szCs w:val="32"/>
        </w:rPr>
      </w:pPr>
      <w:r>
        <w:rPr>
          <w:rFonts w:hint="eastAsia" w:ascii="仿宋_GB2312" w:eastAsia="仿宋_GB2312"/>
          <w:sz w:val="32"/>
          <w:szCs w:val="32"/>
        </w:rPr>
        <w:t>重点开采铜、铅、锌、锡、金、银等优势矿产，高质量利用地热、珍珠岩、膨润土等矿产。</w:t>
      </w:r>
    </w:p>
    <w:p>
      <w:pPr>
        <w:spacing w:line="560" w:lineRule="exact"/>
        <w:ind w:firstLine="640"/>
        <w:contextualSpacing/>
        <w:rPr>
          <w:rFonts w:ascii="仿宋_GB2312" w:eastAsia="仿宋_GB2312"/>
          <w:sz w:val="32"/>
          <w:szCs w:val="32"/>
        </w:rPr>
      </w:pPr>
      <w:r>
        <w:rPr>
          <w:rFonts w:hint="eastAsia" w:ascii="仿宋_GB2312" w:eastAsia="仿宋_GB2312"/>
          <w:sz w:val="32"/>
          <w:szCs w:val="32"/>
        </w:rPr>
        <w:t>限制开采湿地泥炭以及砂金、砂铁等重砂矿物。对钨矿产进行总量调控。</w:t>
      </w:r>
    </w:p>
    <w:p>
      <w:pPr>
        <w:spacing w:line="560" w:lineRule="exact"/>
        <w:ind w:firstLine="640"/>
        <w:contextualSpacing/>
        <w:rPr>
          <w:rFonts w:ascii="仿宋_GB2312" w:eastAsia="仿宋_GB2312"/>
          <w:sz w:val="32"/>
          <w:szCs w:val="32"/>
        </w:rPr>
      </w:pPr>
      <w:r>
        <w:rPr>
          <w:rFonts w:hint="eastAsia" w:ascii="仿宋_GB2312" w:eastAsia="仿宋_GB2312"/>
          <w:sz w:val="32"/>
          <w:szCs w:val="32"/>
        </w:rPr>
        <w:t>禁止开采砷和放射性等有毒有害物质超过规定标准的煤炭项目。禁止开采超贫磁铁矿。禁止开采可耕地的砖瓦用粘土。</w:t>
      </w:r>
    </w:p>
    <w:p>
      <w:pPr>
        <w:pStyle w:val="3"/>
      </w:pPr>
      <w:bookmarkStart w:id="20" w:name="_Toc106610324"/>
      <w:r>
        <w:rPr>
          <w:rFonts w:hint="eastAsia"/>
        </w:rPr>
        <w:t>第二节</w:t>
      </w:r>
      <w:r>
        <w:t xml:space="preserve"> </w:t>
      </w:r>
      <w:r>
        <w:rPr>
          <w:rFonts w:hint="eastAsia"/>
        </w:rPr>
        <w:t>矿产资源调查评价与勘查</w:t>
      </w:r>
      <w:bookmarkEnd w:id="20"/>
    </w:p>
    <w:p>
      <w:pPr>
        <w:pStyle w:val="5"/>
        <w:ind w:firstLine="640"/>
        <w:rPr>
          <w:szCs w:val="32"/>
        </w:rPr>
      </w:pPr>
      <w:r>
        <w:rPr>
          <w:rFonts w:hint="eastAsia"/>
          <w:szCs w:val="32"/>
        </w:rPr>
        <w:t>一、开展资源调查评价和勘查工作</w:t>
      </w:r>
    </w:p>
    <w:p>
      <w:pPr>
        <w:spacing w:line="560" w:lineRule="exact"/>
        <w:ind w:firstLine="640"/>
        <w:contextualSpacing/>
        <w:rPr>
          <w:rFonts w:ascii="仿宋_GB2312" w:eastAsia="仿宋_GB2312"/>
          <w:sz w:val="32"/>
          <w:szCs w:val="32"/>
        </w:rPr>
      </w:pPr>
      <w:r>
        <w:rPr>
          <w:rFonts w:hint="eastAsia" w:ascii="仿宋_GB2312" w:eastAsia="仿宋_GB2312"/>
          <w:sz w:val="32"/>
          <w:szCs w:val="32"/>
        </w:rPr>
        <w:t>配合国家和自治区做好基础地质调查工作，在巴林左旗</w:t>
      </w:r>
      <w:r>
        <w:rPr>
          <w:rFonts w:ascii="仿宋_GB2312" w:eastAsia="仿宋_GB2312"/>
          <w:sz w:val="32"/>
          <w:szCs w:val="32"/>
        </w:rPr>
        <w:t>-阿鲁科尔沁旗、翁牛特旗-敖汉旗等耕地集中区进行1:25万土地质量地球化学调查；在克什克腾旗等缺水重点地区开展1:5万水文地质环境地质调查，优先解决</w:t>
      </w:r>
      <w:r>
        <w:rPr>
          <w:rFonts w:hint="eastAsia" w:ascii="仿宋_GB2312" w:eastAsia="仿宋_GB2312"/>
          <w:sz w:val="32"/>
          <w:szCs w:val="32"/>
        </w:rPr>
        <w:t>人畜饮水困难问题。实施“赤峰市国情资源调查”项目，摸清铅、锌、银等市级管控的</w:t>
      </w:r>
      <w:r>
        <w:rPr>
          <w:rFonts w:ascii="仿宋_GB2312" w:eastAsia="仿宋_GB2312"/>
          <w:sz w:val="32"/>
          <w:szCs w:val="32"/>
        </w:rPr>
        <w:t>14个重要矿种的资源数据、质量、结构和空间分布情况。协调开展赤峰“双子星</w:t>
      </w:r>
      <w:r>
        <w:rPr>
          <w:rFonts w:hint="eastAsia" w:ascii="仿宋_GB2312" w:eastAsia="仿宋_GB2312"/>
          <w:sz w:val="32"/>
          <w:szCs w:val="32"/>
        </w:rPr>
        <w:t>座”城市圈综合地质调查，查明城市空间范围内全要素地质指标和参数。</w:t>
      </w:r>
    </w:p>
    <w:p>
      <w:pPr>
        <w:pStyle w:val="5"/>
        <w:ind w:firstLine="640"/>
        <w:rPr>
          <w:szCs w:val="32"/>
        </w:rPr>
      </w:pPr>
      <w:r>
        <w:rPr>
          <w:rFonts w:hint="eastAsia"/>
          <w:szCs w:val="32"/>
        </w:rPr>
        <w:t>二、推进地热资源勘查</w:t>
      </w:r>
    </w:p>
    <w:p>
      <w:pPr>
        <w:spacing w:line="560" w:lineRule="exact"/>
        <w:ind w:firstLine="640"/>
        <w:contextualSpacing/>
        <w:rPr>
          <w:rFonts w:ascii="仿宋_GB2312" w:eastAsia="仿宋_GB2312"/>
          <w:sz w:val="32"/>
          <w:szCs w:val="32"/>
        </w:rPr>
      </w:pPr>
      <w:r>
        <w:rPr>
          <w:rFonts w:hint="eastAsia" w:ascii="仿宋_GB2312" w:eastAsia="仿宋_GB2312"/>
          <w:sz w:val="32"/>
          <w:szCs w:val="32"/>
        </w:rPr>
        <w:t>围绕赤峰市新型城镇化建设、新农村建设、康养文化旅游等景区建设以及推进清洁能源应用的要求，在城区周边、喀喇沁旗当铺地、敖汉旗四家子镇、阿鲁科尔沁旗绍根、宁城县南部等成热有利地区进行地热资源勘查，以勘查促开发，全面提高地热资源工作程度。探讨浅层低温地热资源在城镇周边的利用。</w:t>
      </w:r>
    </w:p>
    <w:p>
      <w:pPr>
        <w:pStyle w:val="5"/>
        <w:ind w:firstLine="640"/>
        <w:rPr>
          <w:szCs w:val="32"/>
        </w:rPr>
      </w:pPr>
      <w:r>
        <w:rPr>
          <w:rFonts w:hint="eastAsia"/>
          <w:szCs w:val="32"/>
        </w:rPr>
        <w:t>三、加强深部及外围矿产勘查</w:t>
      </w:r>
    </w:p>
    <w:p>
      <w:pPr>
        <w:spacing w:line="560" w:lineRule="exact"/>
        <w:ind w:firstLine="640"/>
        <w:contextualSpacing/>
        <w:rPr>
          <w:rFonts w:ascii="仿宋_GB2312" w:eastAsia="仿宋_GB2312"/>
          <w:sz w:val="32"/>
          <w:szCs w:val="32"/>
        </w:rPr>
      </w:pPr>
      <w:r>
        <w:rPr>
          <w:rFonts w:hint="eastAsia" w:ascii="仿宋_GB2312" w:eastAsia="仿宋_GB2312"/>
          <w:sz w:val="32"/>
          <w:szCs w:val="32"/>
        </w:rPr>
        <w:t>加强大兴安岭中南段多金属成矿带、华北陆块北缘金铁成矿带老矿山深部及外围找矿，推动白音诺铅锌矿、红岭铅锌矿、柴胡栏子金矿等老矿山深部找盲、探边摸底，实现资源储量稳定增长。应用地质、物探、化探、遥感等领域的新方法、新技术，结合矿床成矿理论研究，构建三维成矿预测，指导矿山深部和外围找矿。</w:t>
      </w:r>
    </w:p>
    <w:p>
      <w:pPr>
        <w:pStyle w:val="5"/>
        <w:ind w:firstLine="640"/>
        <w:rPr>
          <w:szCs w:val="32"/>
        </w:rPr>
      </w:pPr>
      <w:r>
        <w:rPr>
          <w:rFonts w:hint="eastAsia"/>
          <w:szCs w:val="32"/>
        </w:rPr>
        <w:t>四、积极推进绿色勘查</w:t>
      </w:r>
    </w:p>
    <w:p>
      <w:pPr>
        <w:spacing w:line="560" w:lineRule="exact"/>
        <w:ind w:firstLine="640"/>
        <w:contextualSpacing/>
        <w:rPr>
          <w:rFonts w:ascii="仿宋_GB2312" w:eastAsia="仿宋_GB2312"/>
          <w:sz w:val="32"/>
          <w:szCs w:val="32"/>
        </w:rPr>
      </w:pPr>
      <w:r>
        <w:rPr>
          <w:rFonts w:hint="eastAsia" w:ascii="仿宋_GB2312" w:eastAsia="仿宋_GB2312"/>
          <w:sz w:val="32"/>
          <w:szCs w:val="32"/>
        </w:rPr>
        <w:t>落实国家和自治区对绿色勘查的工作部署和管理要求，在全市着力推广绿色勘查模式。参考各地绿色勘查新技术示范工作，鼓励勘查单位根据自治区绿色勘查技术体系，结合本市矿产多赋存于山区、呈脉状产出的特点，探讨适用本地的绿色勘查技术体系，切实推进绿色勘查。特别在东西部沙漠区、北部草原区等生态环境脆弱地区，鼓励优先利用“无人机磁法测量”、“以钻代槽”、“一基多孔”等绿色勘查新技术，减少对生态环境扰动，提高找矿效果。鼓励科技创新，引进环保、高效的各类地质勘查仪器，全面提高勘查效率。落实管理，通过规划源头管控、项目设计编审把关、项目实施监管等措施，将绿色勘查理念、要求和责任落实到具体工作中，使勘查工作对生态环境的影响处于可控、可恢复的范围，做到和谐勘查、安全文明施工。</w:t>
      </w:r>
    </w:p>
    <w:p>
      <w:pPr>
        <w:pStyle w:val="3"/>
      </w:pPr>
      <w:bookmarkStart w:id="21" w:name="_Toc106610325"/>
      <w:r>
        <w:rPr>
          <w:rFonts w:hint="eastAsia"/>
        </w:rPr>
        <w:t>第三节</w:t>
      </w:r>
      <w:r>
        <w:t xml:space="preserve"> </w:t>
      </w:r>
      <w:r>
        <w:rPr>
          <w:rFonts w:hint="eastAsia"/>
        </w:rPr>
        <w:t>矿山结构调整</w:t>
      </w:r>
      <w:bookmarkEnd w:id="21"/>
    </w:p>
    <w:p>
      <w:pPr>
        <w:pStyle w:val="5"/>
        <w:ind w:firstLine="640"/>
        <w:rPr>
          <w:szCs w:val="32"/>
        </w:rPr>
      </w:pPr>
      <w:r>
        <w:rPr>
          <w:rFonts w:hint="eastAsia"/>
          <w:szCs w:val="32"/>
        </w:rPr>
        <w:t>一、合理控制开发强度</w:t>
      </w:r>
    </w:p>
    <w:p>
      <w:pPr>
        <w:spacing w:line="560" w:lineRule="exact"/>
        <w:ind w:firstLine="640"/>
        <w:contextualSpacing/>
        <w:rPr>
          <w:rFonts w:ascii="仿宋_GB2312" w:eastAsia="仿宋_GB2312"/>
          <w:sz w:val="32"/>
          <w:szCs w:val="32"/>
        </w:rPr>
      </w:pPr>
      <w:r>
        <w:rPr>
          <w:rFonts w:hint="eastAsia" w:ascii="仿宋_GB2312" w:eastAsia="仿宋_GB2312"/>
          <w:sz w:val="32"/>
          <w:szCs w:val="32"/>
        </w:rPr>
        <w:t>严控煤炭开发强度和新增产能，实行煤层气探采合一制度。至</w:t>
      </w:r>
      <w:r>
        <w:rPr>
          <w:rFonts w:ascii="仿宋_GB2312" w:eastAsia="仿宋_GB2312"/>
          <w:sz w:val="32"/>
          <w:szCs w:val="32"/>
        </w:rPr>
        <w:t>2025年煤炭年开采量动态稳定在2400万吨左右，为能源需求提供资源保障。推进地热资源利用，重点推进宁城地区地热资源采矿权设立，扩大敖汉旗四家子镇地热资源储量。钨矿开采总量严格按照国家下达的控制指标执行，严禁超标开采。</w:t>
      </w:r>
    </w:p>
    <w:p>
      <w:pPr>
        <w:spacing w:line="560" w:lineRule="exact"/>
        <w:ind w:firstLine="640"/>
        <w:contextualSpacing/>
        <w:rPr>
          <w:rFonts w:ascii="仿宋_GB2312" w:eastAsia="仿宋_GB2312"/>
          <w:sz w:val="32"/>
          <w:szCs w:val="32"/>
        </w:rPr>
      </w:pPr>
      <w:r>
        <w:rPr>
          <w:rFonts w:hint="eastAsia" w:ascii="仿宋_GB2312" w:eastAsia="仿宋_GB2312"/>
          <w:sz w:val="32"/>
          <w:szCs w:val="32"/>
        </w:rPr>
        <w:t>在满足地区经济发展要求的前提下，对普通建筑材料用砂、石矿种实施总量控制。规划期间建筑用石年开采总量控制在</w:t>
      </w:r>
      <w:r>
        <w:rPr>
          <w:rFonts w:ascii="仿宋_GB2312" w:eastAsia="仿宋_GB2312"/>
          <w:sz w:val="32"/>
          <w:szCs w:val="32"/>
        </w:rPr>
        <w:t>850万立方米以内，建筑用砂年开采总量控制在370万立方米以内。</w:t>
      </w:r>
    </w:p>
    <w:p>
      <w:pPr>
        <w:pStyle w:val="13"/>
        <w:spacing w:line="560" w:lineRule="exact"/>
        <w:ind w:firstLine="170" w:firstLineChars="71"/>
        <w:contextualSpacing/>
        <w:jc w:val="center"/>
        <w:rPr>
          <w:rFonts w:ascii="黑体" w:hAnsi="黑体" w:eastAsia="黑体"/>
          <w:color w:val="auto"/>
          <w:sz w:val="24"/>
          <w:szCs w:val="24"/>
        </w:rPr>
      </w:pPr>
      <w:r>
        <w:rPr>
          <w:rFonts w:hint="eastAsia" w:ascii="黑体" w:hAnsi="黑体" w:eastAsia="黑体"/>
          <w:color w:val="auto"/>
          <w:sz w:val="24"/>
          <w:szCs w:val="24"/>
        </w:rPr>
        <w:t>专栏</w:t>
      </w:r>
      <w:r>
        <w:rPr>
          <w:rFonts w:ascii="黑体" w:hAnsi="黑体" w:eastAsia="黑体"/>
          <w:color w:val="auto"/>
          <w:sz w:val="24"/>
          <w:szCs w:val="24"/>
        </w:rPr>
        <w:t xml:space="preserve">6 </w:t>
      </w:r>
      <w:r>
        <w:rPr>
          <w:rFonts w:hint="eastAsia" w:ascii="黑体" w:hAnsi="黑体" w:eastAsia="黑体"/>
          <w:color w:val="auto"/>
          <w:sz w:val="24"/>
          <w:szCs w:val="24"/>
        </w:rPr>
        <w:t>建筑用砂、石开采总量控制规划表</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33"/>
        <w:gridCol w:w="2747"/>
        <w:gridCol w:w="2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721" w:type="pct"/>
            <w:vMerge w:val="restart"/>
            <w:shd w:val="clear" w:color="auto" w:fill="auto"/>
            <w:noWrap w:val="0"/>
            <w:vAlign w:val="center"/>
          </w:tcPr>
          <w:p>
            <w:pPr>
              <w:pStyle w:val="15"/>
              <w:spacing w:line="560" w:lineRule="exact"/>
              <w:contextualSpacing/>
              <w:rPr>
                <w:rFonts w:ascii="黑体" w:hAnsi="黑体" w:eastAsia="黑体"/>
                <w:sz w:val="24"/>
                <w:szCs w:val="24"/>
              </w:rPr>
            </w:pPr>
            <w:r>
              <w:rPr>
                <w:rFonts w:hint="eastAsia" w:ascii="黑体" w:hAnsi="黑体" w:eastAsia="黑体"/>
                <w:sz w:val="24"/>
                <w:szCs w:val="24"/>
              </w:rPr>
              <w:t>旗县区名称</w:t>
            </w:r>
          </w:p>
        </w:tc>
        <w:tc>
          <w:tcPr>
            <w:tcW w:w="3279" w:type="pct"/>
            <w:gridSpan w:val="2"/>
            <w:shd w:val="clear" w:color="auto" w:fill="auto"/>
            <w:noWrap w:val="0"/>
            <w:vAlign w:val="center"/>
          </w:tcPr>
          <w:p>
            <w:pPr>
              <w:pStyle w:val="15"/>
              <w:spacing w:line="560" w:lineRule="exact"/>
              <w:contextualSpacing/>
              <w:rPr>
                <w:rFonts w:ascii="黑体" w:hAnsi="黑体" w:eastAsia="黑体"/>
                <w:sz w:val="24"/>
                <w:szCs w:val="24"/>
              </w:rPr>
            </w:pPr>
            <w:r>
              <w:rPr>
                <w:rFonts w:hint="eastAsia" w:ascii="黑体" w:hAnsi="黑体" w:eastAsia="黑体"/>
                <w:sz w:val="24"/>
                <w:szCs w:val="24"/>
              </w:rPr>
              <w:t>预计年开采总量（万立方米）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721" w:type="pct"/>
            <w:vMerge w:val="continue"/>
            <w:shd w:val="clear" w:color="auto" w:fill="auto"/>
            <w:noWrap w:val="0"/>
            <w:vAlign w:val="center"/>
          </w:tcPr>
          <w:p>
            <w:pPr>
              <w:pStyle w:val="15"/>
              <w:spacing w:line="560" w:lineRule="exact"/>
              <w:ind w:firstLine="562"/>
              <w:contextualSpacing/>
              <w:rPr>
                <w:rFonts w:ascii="黑体" w:hAnsi="黑体" w:eastAsia="黑体"/>
                <w:sz w:val="24"/>
                <w:szCs w:val="24"/>
              </w:rPr>
            </w:pPr>
          </w:p>
        </w:tc>
        <w:tc>
          <w:tcPr>
            <w:tcW w:w="1612" w:type="pct"/>
            <w:shd w:val="clear" w:color="auto" w:fill="auto"/>
            <w:noWrap w:val="0"/>
            <w:vAlign w:val="center"/>
          </w:tcPr>
          <w:p>
            <w:pPr>
              <w:pStyle w:val="15"/>
              <w:spacing w:line="560" w:lineRule="exact"/>
              <w:contextualSpacing/>
              <w:rPr>
                <w:rFonts w:ascii="黑体" w:hAnsi="黑体" w:eastAsia="黑体"/>
                <w:sz w:val="24"/>
                <w:szCs w:val="24"/>
              </w:rPr>
            </w:pPr>
            <w:r>
              <w:rPr>
                <w:rFonts w:hint="eastAsia" w:ascii="黑体" w:hAnsi="黑体" w:eastAsia="黑体"/>
                <w:sz w:val="24"/>
                <w:szCs w:val="24"/>
              </w:rPr>
              <w:t>建筑用碎石</w:t>
            </w:r>
          </w:p>
        </w:tc>
        <w:tc>
          <w:tcPr>
            <w:tcW w:w="1667" w:type="pct"/>
            <w:shd w:val="clear" w:color="auto" w:fill="auto"/>
            <w:noWrap w:val="0"/>
            <w:vAlign w:val="center"/>
          </w:tcPr>
          <w:p>
            <w:pPr>
              <w:pStyle w:val="15"/>
              <w:spacing w:line="560" w:lineRule="exact"/>
              <w:contextualSpacing/>
              <w:rPr>
                <w:rFonts w:ascii="黑体" w:hAnsi="黑体" w:eastAsia="黑体"/>
                <w:sz w:val="24"/>
                <w:szCs w:val="24"/>
              </w:rPr>
            </w:pPr>
            <w:r>
              <w:rPr>
                <w:rFonts w:hint="eastAsia" w:ascii="黑体" w:hAnsi="黑体" w:eastAsia="黑体"/>
                <w:sz w:val="24"/>
                <w:szCs w:val="24"/>
              </w:rPr>
              <w:t>建筑用砂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21" w:type="pct"/>
            <w:shd w:val="clear" w:color="auto" w:fill="auto"/>
            <w:noWrap w:val="0"/>
            <w:vAlign w:val="center"/>
          </w:tcPr>
          <w:p>
            <w:pPr>
              <w:pStyle w:val="15"/>
              <w:spacing w:line="560" w:lineRule="exact"/>
              <w:contextualSpacing/>
              <w:rPr>
                <w:rFonts w:ascii="仿宋_GB2312" w:hAnsi="宋体" w:eastAsia="仿宋_GB2312"/>
                <w:sz w:val="24"/>
                <w:szCs w:val="24"/>
              </w:rPr>
            </w:pPr>
            <w:r>
              <w:rPr>
                <w:rFonts w:hint="eastAsia" w:ascii="仿宋_GB2312" w:hAnsi="宋体" w:eastAsia="仿宋_GB2312"/>
                <w:sz w:val="24"/>
                <w:szCs w:val="24"/>
              </w:rPr>
              <w:t>阿鲁科尔沁旗</w:t>
            </w:r>
          </w:p>
        </w:tc>
        <w:tc>
          <w:tcPr>
            <w:tcW w:w="1612" w:type="pct"/>
            <w:shd w:val="clear" w:color="auto" w:fill="auto"/>
            <w:noWrap w:val="0"/>
            <w:vAlign w:val="center"/>
          </w:tcPr>
          <w:p>
            <w:pPr>
              <w:pStyle w:val="15"/>
              <w:spacing w:line="560" w:lineRule="exact"/>
              <w:contextualSpacing/>
              <w:rPr>
                <w:rFonts w:ascii="仿宋_GB2312" w:hAnsi="宋体" w:eastAsia="仿宋_GB2312"/>
                <w:sz w:val="24"/>
                <w:szCs w:val="24"/>
              </w:rPr>
            </w:pPr>
            <w:r>
              <w:rPr>
                <w:rFonts w:ascii="仿宋_GB2312" w:hAnsi="宋体" w:eastAsia="仿宋_GB2312"/>
                <w:sz w:val="24"/>
                <w:szCs w:val="24"/>
              </w:rPr>
              <w:t>80</w:t>
            </w:r>
          </w:p>
        </w:tc>
        <w:tc>
          <w:tcPr>
            <w:tcW w:w="1667" w:type="pct"/>
            <w:shd w:val="clear" w:color="auto" w:fill="auto"/>
            <w:noWrap w:val="0"/>
            <w:vAlign w:val="center"/>
          </w:tcPr>
          <w:p>
            <w:pPr>
              <w:pStyle w:val="15"/>
              <w:spacing w:line="560" w:lineRule="exact"/>
              <w:contextualSpacing/>
              <w:rPr>
                <w:rFonts w:ascii="仿宋_GB2312" w:hAnsi="宋体" w:eastAsia="仿宋_GB2312"/>
                <w:sz w:val="24"/>
                <w:szCs w:val="24"/>
              </w:rPr>
            </w:pPr>
            <w:r>
              <w:rPr>
                <w:rFonts w:ascii="仿宋_GB2312" w:hAnsi="宋体" w:eastAsia="仿宋_GB2312"/>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21" w:type="pct"/>
            <w:shd w:val="clear" w:color="auto" w:fill="auto"/>
            <w:noWrap w:val="0"/>
            <w:vAlign w:val="center"/>
          </w:tcPr>
          <w:p>
            <w:pPr>
              <w:pStyle w:val="15"/>
              <w:spacing w:line="560" w:lineRule="exact"/>
              <w:contextualSpacing/>
              <w:rPr>
                <w:rFonts w:ascii="仿宋_GB2312" w:hAnsi="宋体" w:eastAsia="仿宋_GB2312"/>
                <w:sz w:val="24"/>
                <w:szCs w:val="24"/>
              </w:rPr>
            </w:pPr>
            <w:r>
              <w:rPr>
                <w:rFonts w:hint="eastAsia" w:ascii="仿宋_GB2312" w:hAnsi="宋体" w:eastAsia="仿宋_GB2312"/>
                <w:sz w:val="24"/>
                <w:szCs w:val="24"/>
              </w:rPr>
              <w:t>克什克腾旗</w:t>
            </w:r>
          </w:p>
        </w:tc>
        <w:tc>
          <w:tcPr>
            <w:tcW w:w="1612" w:type="pct"/>
            <w:shd w:val="clear" w:color="auto" w:fill="auto"/>
            <w:noWrap w:val="0"/>
            <w:vAlign w:val="center"/>
          </w:tcPr>
          <w:p>
            <w:pPr>
              <w:pStyle w:val="15"/>
              <w:spacing w:line="560" w:lineRule="exact"/>
              <w:contextualSpacing/>
              <w:rPr>
                <w:rFonts w:ascii="仿宋_GB2312" w:hAnsi="宋体" w:eastAsia="仿宋_GB2312"/>
                <w:sz w:val="24"/>
                <w:szCs w:val="24"/>
              </w:rPr>
            </w:pPr>
            <w:r>
              <w:rPr>
                <w:rFonts w:ascii="仿宋_GB2312" w:hAnsi="宋体" w:eastAsia="仿宋_GB2312"/>
                <w:sz w:val="24"/>
                <w:szCs w:val="24"/>
              </w:rPr>
              <w:t>100</w:t>
            </w:r>
          </w:p>
        </w:tc>
        <w:tc>
          <w:tcPr>
            <w:tcW w:w="1667" w:type="pct"/>
            <w:shd w:val="clear" w:color="auto" w:fill="auto"/>
            <w:noWrap w:val="0"/>
            <w:vAlign w:val="center"/>
          </w:tcPr>
          <w:p>
            <w:pPr>
              <w:pStyle w:val="15"/>
              <w:spacing w:line="560" w:lineRule="exact"/>
              <w:contextualSpacing/>
              <w:rPr>
                <w:rFonts w:ascii="仿宋_GB2312" w:hAnsi="宋体" w:eastAsia="仿宋_GB2312"/>
                <w:sz w:val="24"/>
                <w:szCs w:val="24"/>
              </w:rPr>
            </w:pPr>
            <w:r>
              <w:rPr>
                <w:rFonts w:ascii="仿宋_GB2312" w:hAnsi="宋体" w:eastAsia="仿宋_GB2312"/>
                <w:sz w:val="24"/>
                <w:szCs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21" w:type="pct"/>
            <w:shd w:val="clear" w:color="auto" w:fill="auto"/>
            <w:noWrap w:val="0"/>
            <w:vAlign w:val="center"/>
          </w:tcPr>
          <w:p>
            <w:pPr>
              <w:pStyle w:val="15"/>
              <w:spacing w:line="560" w:lineRule="exact"/>
              <w:contextualSpacing/>
              <w:rPr>
                <w:rFonts w:ascii="仿宋_GB2312" w:hAnsi="宋体" w:eastAsia="仿宋_GB2312"/>
                <w:sz w:val="24"/>
                <w:szCs w:val="24"/>
              </w:rPr>
            </w:pPr>
            <w:r>
              <w:rPr>
                <w:rFonts w:hint="eastAsia" w:ascii="仿宋_GB2312" w:hAnsi="宋体" w:eastAsia="仿宋_GB2312"/>
                <w:sz w:val="24"/>
                <w:szCs w:val="24"/>
              </w:rPr>
              <w:t>林西县</w:t>
            </w:r>
          </w:p>
        </w:tc>
        <w:tc>
          <w:tcPr>
            <w:tcW w:w="1612" w:type="pct"/>
            <w:shd w:val="clear" w:color="auto" w:fill="auto"/>
            <w:noWrap w:val="0"/>
            <w:vAlign w:val="center"/>
          </w:tcPr>
          <w:p>
            <w:pPr>
              <w:pStyle w:val="15"/>
              <w:spacing w:line="560" w:lineRule="exact"/>
              <w:contextualSpacing/>
              <w:rPr>
                <w:rFonts w:ascii="仿宋_GB2312" w:hAnsi="宋体" w:eastAsia="仿宋_GB2312"/>
                <w:sz w:val="24"/>
                <w:szCs w:val="24"/>
              </w:rPr>
            </w:pPr>
            <w:r>
              <w:rPr>
                <w:rFonts w:ascii="仿宋_GB2312" w:hAnsi="宋体" w:eastAsia="仿宋_GB2312"/>
                <w:sz w:val="24"/>
                <w:szCs w:val="24"/>
              </w:rPr>
              <w:t>80</w:t>
            </w:r>
          </w:p>
        </w:tc>
        <w:tc>
          <w:tcPr>
            <w:tcW w:w="1667" w:type="pct"/>
            <w:shd w:val="clear" w:color="auto" w:fill="auto"/>
            <w:noWrap w:val="0"/>
            <w:vAlign w:val="center"/>
          </w:tcPr>
          <w:p>
            <w:pPr>
              <w:pStyle w:val="15"/>
              <w:spacing w:line="560" w:lineRule="exact"/>
              <w:contextualSpacing/>
              <w:rPr>
                <w:rFonts w:ascii="仿宋_GB2312" w:hAnsi="宋体" w:eastAsia="仿宋_GB2312"/>
                <w:sz w:val="24"/>
                <w:szCs w:val="24"/>
              </w:rPr>
            </w:pPr>
            <w:r>
              <w:rPr>
                <w:rFonts w:ascii="仿宋_GB2312" w:hAnsi="宋体" w:eastAsia="仿宋_GB2312"/>
                <w:sz w:val="24"/>
                <w:szCs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21" w:type="pct"/>
            <w:shd w:val="clear" w:color="auto" w:fill="auto"/>
            <w:noWrap w:val="0"/>
            <w:vAlign w:val="center"/>
          </w:tcPr>
          <w:p>
            <w:pPr>
              <w:pStyle w:val="15"/>
              <w:spacing w:line="560" w:lineRule="exact"/>
              <w:contextualSpacing/>
              <w:rPr>
                <w:rFonts w:ascii="仿宋_GB2312" w:hAnsi="宋体" w:eastAsia="仿宋_GB2312"/>
                <w:sz w:val="24"/>
                <w:szCs w:val="24"/>
              </w:rPr>
            </w:pPr>
            <w:r>
              <w:rPr>
                <w:rFonts w:hint="eastAsia" w:ascii="仿宋_GB2312" w:hAnsi="宋体" w:eastAsia="仿宋_GB2312"/>
                <w:sz w:val="24"/>
                <w:szCs w:val="24"/>
              </w:rPr>
              <w:t>巴林右旗</w:t>
            </w:r>
          </w:p>
        </w:tc>
        <w:tc>
          <w:tcPr>
            <w:tcW w:w="1612" w:type="pct"/>
            <w:shd w:val="clear" w:color="auto" w:fill="auto"/>
            <w:noWrap w:val="0"/>
            <w:vAlign w:val="center"/>
          </w:tcPr>
          <w:p>
            <w:pPr>
              <w:pStyle w:val="15"/>
              <w:spacing w:line="560" w:lineRule="exact"/>
              <w:contextualSpacing/>
              <w:rPr>
                <w:rFonts w:ascii="仿宋_GB2312" w:hAnsi="宋体" w:eastAsia="仿宋_GB2312"/>
                <w:sz w:val="24"/>
                <w:szCs w:val="24"/>
              </w:rPr>
            </w:pPr>
            <w:r>
              <w:rPr>
                <w:rFonts w:ascii="仿宋_GB2312" w:hAnsi="宋体" w:eastAsia="仿宋_GB2312"/>
                <w:sz w:val="24"/>
                <w:szCs w:val="24"/>
              </w:rPr>
              <w:t>90</w:t>
            </w:r>
          </w:p>
        </w:tc>
        <w:tc>
          <w:tcPr>
            <w:tcW w:w="1667" w:type="pct"/>
            <w:shd w:val="clear" w:color="auto" w:fill="auto"/>
            <w:noWrap w:val="0"/>
            <w:vAlign w:val="center"/>
          </w:tcPr>
          <w:p>
            <w:pPr>
              <w:pStyle w:val="15"/>
              <w:spacing w:line="560" w:lineRule="exact"/>
              <w:contextualSpacing/>
              <w:rPr>
                <w:rFonts w:ascii="仿宋_GB2312" w:hAnsi="宋体" w:eastAsia="仿宋_GB2312"/>
                <w:sz w:val="24"/>
                <w:szCs w:val="24"/>
              </w:rPr>
            </w:pPr>
            <w:r>
              <w:rPr>
                <w:rFonts w:ascii="仿宋_GB2312" w:hAnsi="宋体" w:eastAsia="仿宋_GB2312"/>
                <w:sz w:val="24"/>
                <w:szCs w:val="24"/>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21" w:type="pct"/>
            <w:shd w:val="clear" w:color="auto" w:fill="auto"/>
            <w:noWrap w:val="0"/>
            <w:vAlign w:val="center"/>
          </w:tcPr>
          <w:p>
            <w:pPr>
              <w:pStyle w:val="15"/>
              <w:spacing w:line="560" w:lineRule="exact"/>
              <w:contextualSpacing/>
              <w:rPr>
                <w:rFonts w:ascii="仿宋_GB2312" w:hAnsi="宋体" w:eastAsia="仿宋_GB2312"/>
                <w:sz w:val="24"/>
                <w:szCs w:val="24"/>
              </w:rPr>
            </w:pPr>
            <w:r>
              <w:rPr>
                <w:rFonts w:hint="eastAsia" w:ascii="仿宋_GB2312" w:hAnsi="宋体" w:eastAsia="仿宋_GB2312"/>
                <w:sz w:val="24"/>
                <w:szCs w:val="24"/>
              </w:rPr>
              <w:t>巴林左旗</w:t>
            </w:r>
          </w:p>
        </w:tc>
        <w:tc>
          <w:tcPr>
            <w:tcW w:w="1612" w:type="pct"/>
            <w:shd w:val="clear" w:color="auto" w:fill="auto"/>
            <w:noWrap w:val="0"/>
            <w:vAlign w:val="center"/>
          </w:tcPr>
          <w:p>
            <w:pPr>
              <w:pStyle w:val="15"/>
              <w:spacing w:line="560" w:lineRule="exact"/>
              <w:contextualSpacing/>
              <w:rPr>
                <w:rFonts w:ascii="仿宋_GB2312" w:hAnsi="宋体" w:eastAsia="仿宋_GB2312"/>
                <w:sz w:val="24"/>
                <w:szCs w:val="24"/>
              </w:rPr>
            </w:pPr>
            <w:r>
              <w:rPr>
                <w:rFonts w:ascii="仿宋_GB2312" w:hAnsi="宋体" w:eastAsia="仿宋_GB2312"/>
                <w:sz w:val="24"/>
                <w:szCs w:val="24"/>
              </w:rPr>
              <w:t>50</w:t>
            </w:r>
          </w:p>
        </w:tc>
        <w:tc>
          <w:tcPr>
            <w:tcW w:w="1667" w:type="pct"/>
            <w:shd w:val="clear" w:color="auto" w:fill="auto"/>
            <w:noWrap w:val="0"/>
            <w:vAlign w:val="center"/>
          </w:tcPr>
          <w:p>
            <w:pPr>
              <w:pStyle w:val="15"/>
              <w:spacing w:line="560" w:lineRule="exact"/>
              <w:contextualSpacing/>
              <w:rPr>
                <w:rFonts w:ascii="仿宋_GB2312" w:hAnsi="宋体" w:eastAsia="仿宋_GB2312"/>
                <w:sz w:val="24"/>
                <w:szCs w:val="24"/>
              </w:rPr>
            </w:pPr>
            <w:r>
              <w:rPr>
                <w:rFonts w:ascii="仿宋_GB2312" w:hAnsi="宋体" w:eastAsia="仿宋_GB2312"/>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21" w:type="pct"/>
            <w:shd w:val="clear" w:color="auto" w:fill="auto"/>
            <w:noWrap w:val="0"/>
            <w:vAlign w:val="center"/>
          </w:tcPr>
          <w:p>
            <w:pPr>
              <w:pStyle w:val="15"/>
              <w:spacing w:line="560" w:lineRule="exact"/>
              <w:contextualSpacing/>
              <w:rPr>
                <w:rFonts w:ascii="仿宋_GB2312" w:hAnsi="宋体" w:eastAsia="仿宋_GB2312"/>
                <w:sz w:val="24"/>
                <w:szCs w:val="24"/>
              </w:rPr>
            </w:pPr>
            <w:r>
              <w:rPr>
                <w:rFonts w:hint="eastAsia" w:ascii="仿宋_GB2312" w:hAnsi="宋体" w:eastAsia="仿宋_GB2312"/>
                <w:sz w:val="24"/>
                <w:szCs w:val="24"/>
              </w:rPr>
              <w:t>翁牛特旗</w:t>
            </w:r>
          </w:p>
        </w:tc>
        <w:tc>
          <w:tcPr>
            <w:tcW w:w="1612" w:type="pct"/>
            <w:shd w:val="clear" w:color="auto" w:fill="auto"/>
            <w:noWrap w:val="0"/>
            <w:vAlign w:val="center"/>
          </w:tcPr>
          <w:p>
            <w:pPr>
              <w:pStyle w:val="15"/>
              <w:spacing w:line="560" w:lineRule="exact"/>
              <w:contextualSpacing/>
              <w:rPr>
                <w:rFonts w:ascii="仿宋_GB2312" w:hAnsi="宋体" w:eastAsia="仿宋_GB2312"/>
                <w:sz w:val="24"/>
                <w:szCs w:val="24"/>
              </w:rPr>
            </w:pPr>
            <w:r>
              <w:rPr>
                <w:rFonts w:ascii="仿宋_GB2312" w:hAnsi="宋体" w:eastAsia="仿宋_GB2312"/>
                <w:sz w:val="24"/>
                <w:szCs w:val="24"/>
              </w:rPr>
              <w:t>80</w:t>
            </w:r>
          </w:p>
        </w:tc>
        <w:tc>
          <w:tcPr>
            <w:tcW w:w="1667" w:type="pct"/>
            <w:shd w:val="clear" w:color="auto" w:fill="auto"/>
            <w:noWrap w:val="0"/>
            <w:vAlign w:val="center"/>
          </w:tcPr>
          <w:p>
            <w:pPr>
              <w:pStyle w:val="15"/>
              <w:spacing w:line="560" w:lineRule="exact"/>
              <w:contextualSpacing/>
              <w:rPr>
                <w:rFonts w:ascii="仿宋_GB2312" w:hAnsi="宋体" w:eastAsia="仿宋_GB2312"/>
                <w:sz w:val="24"/>
                <w:szCs w:val="24"/>
              </w:rPr>
            </w:pPr>
            <w:r>
              <w:rPr>
                <w:rFonts w:ascii="仿宋_GB2312" w:hAnsi="宋体" w:eastAsia="仿宋_GB2312"/>
                <w:sz w:val="24"/>
                <w:szCs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721" w:type="pct"/>
            <w:shd w:val="clear" w:color="auto" w:fill="auto"/>
            <w:noWrap w:val="0"/>
            <w:vAlign w:val="center"/>
          </w:tcPr>
          <w:p>
            <w:pPr>
              <w:pStyle w:val="15"/>
              <w:spacing w:line="560" w:lineRule="exact"/>
              <w:contextualSpacing/>
              <w:rPr>
                <w:rFonts w:ascii="仿宋_GB2312" w:hAnsi="宋体" w:eastAsia="仿宋_GB2312"/>
                <w:sz w:val="24"/>
                <w:szCs w:val="24"/>
              </w:rPr>
            </w:pPr>
            <w:r>
              <w:rPr>
                <w:rFonts w:hint="eastAsia" w:ascii="仿宋_GB2312" w:hAnsi="宋体" w:eastAsia="仿宋_GB2312"/>
                <w:sz w:val="24"/>
                <w:szCs w:val="24"/>
              </w:rPr>
              <w:t>敖汉旗</w:t>
            </w:r>
          </w:p>
        </w:tc>
        <w:tc>
          <w:tcPr>
            <w:tcW w:w="1612" w:type="pct"/>
            <w:shd w:val="clear" w:color="auto" w:fill="auto"/>
            <w:noWrap w:val="0"/>
            <w:vAlign w:val="center"/>
          </w:tcPr>
          <w:p>
            <w:pPr>
              <w:pStyle w:val="15"/>
              <w:spacing w:line="560" w:lineRule="exact"/>
              <w:contextualSpacing/>
              <w:rPr>
                <w:rFonts w:ascii="仿宋_GB2312" w:hAnsi="宋体" w:eastAsia="仿宋_GB2312"/>
                <w:sz w:val="24"/>
                <w:szCs w:val="24"/>
              </w:rPr>
            </w:pPr>
            <w:r>
              <w:rPr>
                <w:rFonts w:ascii="仿宋_GB2312" w:hAnsi="宋体" w:eastAsia="仿宋_GB2312"/>
                <w:sz w:val="24"/>
                <w:szCs w:val="24"/>
              </w:rPr>
              <w:t>60</w:t>
            </w:r>
          </w:p>
        </w:tc>
        <w:tc>
          <w:tcPr>
            <w:tcW w:w="1667" w:type="pct"/>
            <w:shd w:val="clear" w:color="auto" w:fill="auto"/>
            <w:noWrap w:val="0"/>
            <w:vAlign w:val="center"/>
          </w:tcPr>
          <w:p>
            <w:pPr>
              <w:pStyle w:val="15"/>
              <w:spacing w:line="560" w:lineRule="exact"/>
              <w:contextualSpacing/>
              <w:rPr>
                <w:rFonts w:ascii="仿宋_GB2312" w:hAnsi="宋体" w:eastAsia="仿宋_GB2312"/>
                <w:sz w:val="24"/>
                <w:szCs w:val="24"/>
              </w:rPr>
            </w:pPr>
            <w:r>
              <w:rPr>
                <w:rFonts w:ascii="仿宋_GB2312" w:hAnsi="宋体" w:eastAsia="仿宋_GB2312"/>
                <w:sz w:val="24"/>
                <w:szCs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21" w:type="pct"/>
            <w:shd w:val="clear" w:color="auto" w:fill="auto"/>
            <w:noWrap w:val="0"/>
            <w:vAlign w:val="center"/>
          </w:tcPr>
          <w:p>
            <w:pPr>
              <w:pStyle w:val="15"/>
              <w:spacing w:line="560" w:lineRule="exact"/>
              <w:contextualSpacing/>
              <w:rPr>
                <w:rFonts w:ascii="仿宋_GB2312" w:hAnsi="宋体" w:eastAsia="仿宋_GB2312"/>
                <w:sz w:val="24"/>
                <w:szCs w:val="24"/>
              </w:rPr>
            </w:pPr>
            <w:r>
              <w:rPr>
                <w:rFonts w:hint="eastAsia" w:ascii="仿宋_GB2312" w:hAnsi="宋体" w:eastAsia="仿宋_GB2312"/>
                <w:sz w:val="24"/>
                <w:szCs w:val="24"/>
              </w:rPr>
              <w:t>松山区</w:t>
            </w:r>
          </w:p>
        </w:tc>
        <w:tc>
          <w:tcPr>
            <w:tcW w:w="1612" w:type="pct"/>
            <w:shd w:val="clear" w:color="auto" w:fill="auto"/>
            <w:noWrap w:val="0"/>
            <w:vAlign w:val="center"/>
          </w:tcPr>
          <w:p>
            <w:pPr>
              <w:pStyle w:val="15"/>
              <w:spacing w:line="560" w:lineRule="exact"/>
              <w:contextualSpacing/>
              <w:rPr>
                <w:rFonts w:ascii="仿宋_GB2312" w:hAnsi="宋体" w:eastAsia="仿宋_GB2312"/>
                <w:sz w:val="24"/>
                <w:szCs w:val="24"/>
              </w:rPr>
            </w:pPr>
            <w:r>
              <w:rPr>
                <w:rFonts w:ascii="仿宋_GB2312" w:hAnsi="宋体" w:eastAsia="仿宋_GB2312"/>
                <w:sz w:val="24"/>
                <w:szCs w:val="24"/>
              </w:rPr>
              <w:t>80</w:t>
            </w:r>
          </w:p>
        </w:tc>
        <w:tc>
          <w:tcPr>
            <w:tcW w:w="1667" w:type="pct"/>
            <w:shd w:val="clear" w:color="auto" w:fill="auto"/>
            <w:noWrap w:val="0"/>
            <w:vAlign w:val="center"/>
          </w:tcPr>
          <w:p>
            <w:pPr>
              <w:pStyle w:val="15"/>
              <w:spacing w:line="560" w:lineRule="exact"/>
              <w:contextualSpacing/>
              <w:rPr>
                <w:rFonts w:ascii="仿宋_GB2312" w:hAnsi="宋体" w:eastAsia="仿宋_GB2312"/>
                <w:sz w:val="24"/>
                <w:szCs w:val="24"/>
              </w:rPr>
            </w:pPr>
            <w:r>
              <w:rPr>
                <w:rFonts w:ascii="仿宋_GB2312" w:hAnsi="宋体" w:eastAsia="仿宋_GB2312"/>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21" w:type="pct"/>
            <w:shd w:val="clear" w:color="auto" w:fill="auto"/>
            <w:noWrap w:val="0"/>
            <w:vAlign w:val="center"/>
          </w:tcPr>
          <w:p>
            <w:pPr>
              <w:pStyle w:val="15"/>
              <w:spacing w:line="560" w:lineRule="exact"/>
              <w:contextualSpacing/>
              <w:rPr>
                <w:rFonts w:ascii="仿宋_GB2312" w:hAnsi="宋体" w:eastAsia="仿宋_GB2312"/>
                <w:sz w:val="24"/>
                <w:szCs w:val="24"/>
              </w:rPr>
            </w:pPr>
            <w:r>
              <w:rPr>
                <w:rFonts w:hint="eastAsia" w:ascii="仿宋_GB2312" w:hAnsi="宋体" w:eastAsia="仿宋_GB2312"/>
                <w:sz w:val="24"/>
                <w:szCs w:val="24"/>
              </w:rPr>
              <w:t>元宝山区</w:t>
            </w:r>
          </w:p>
        </w:tc>
        <w:tc>
          <w:tcPr>
            <w:tcW w:w="1612" w:type="pct"/>
            <w:shd w:val="clear" w:color="auto" w:fill="auto"/>
            <w:noWrap w:val="0"/>
            <w:vAlign w:val="center"/>
          </w:tcPr>
          <w:p>
            <w:pPr>
              <w:pStyle w:val="15"/>
              <w:spacing w:line="560" w:lineRule="exact"/>
              <w:contextualSpacing/>
              <w:rPr>
                <w:rFonts w:ascii="仿宋_GB2312" w:hAnsi="宋体" w:eastAsia="仿宋_GB2312"/>
                <w:sz w:val="24"/>
                <w:szCs w:val="24"/>
              </w:rPr>
            </w:pPr>
            <w:r>
              <w:rPr>
                <w:rFonts w:ascii="仿宋_GB2312" w:hAnsi="宋体" w:eastAsia="仿宋_GB2312"/>
                <w:sz w:val="24"/>
                <w:szCs w:val="24"/>
              </w:rPr>
              <w:t>100</w:t>
            </w:r>
          </w:p>
        </w:tc>
        <w:tc>
          <w:tcPr>
            <w:tcW w:w="1667" w:type="pct"/>
            <w:shd w:val="clear" w:color="auto" w:fill="auto"/>
            <w:noWrap w:val="0"/>
            <w:vAlign w:val="center"/>
          </w:tcPr>
          <w:p>
            <w:pPr>
              <w:pStyle w:val="15"/>
              <w:spacing w:line="560" w:lineRule="exact"/>
              <w:contextualSpacing/>
              <w:rPr>
                <w:rFonts w:ascii="仿宋_GB2312" w:hAnsi="宋体" w:eastAsia="仿宋_GB2312"/>
                <w:sz w:val="24"/>
                <w:szCs w:val="24"/>
              </w:rPr>
            </w:pPr>
            <w:r>
              <w:rPr>
                <w:rFonts w:ascii="仿宋_GB2312" w:hAnsi="宋体" w:eastAsia="仿宋_GB231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21" w:type="pct"/>
            <w:shd w:val="clear" w:color="auto" w:fill="auto"/>
            <w:noWrap w:val="0"/>
            <w:vAlign w:val="center"/>
          </w:tcPr>
          <w:p>
            <w:pPr>
              <w:pStyle w:val="15"/>
              <w:spacing w:line="560" w:lineRule="exact"/>
              <w:contextualSpacing/>
              <w:rPr>
                <w:rFonts w:ascii="仿宋_GB2312" w:hAnsi="宋体" w:eastAsia="仿宋_GB2312"/>
                <w:sz w:val="24"/>
                <w:szCs w:val="24"/>
              </w:rPr>
            </w:pPr>
            <w:r>
              <w:rPr>
                <w:rFonts w:hint="eastAsia" w:ascii="仿宋_GB2312" w:hAnsi="宋体" w:eastAsia="仿宋_GB2312"/>
                <w:sz w:val="24"/>
                <w:szCs w:val="24"/>
              </w:rPr>
              <w:t>喀喇沁旗</w:t>
            </w:r>
          </w:p>
        </w:tc>
        <w:tc>
          <w:tcPr>
            <w:tcW w:w="1612" w:type="pct"/>
            <w:shd w:val="clear" w:color="auto" w:fill="auto"/>
            <w:noWrap w:val="0"/>
            <w:vAlign w:val="center"/>
          </w:tcPr>
          <w:p>
            <w:pPr>
              <w:pStyle w:val="15"/>
              <w:spacing w:line="560" w:lineRule="exact"/>
              <w:contextualSpacing/>
              <w:rPr>
                <w:rFonts w:ascii="仿宋_GB2312" w:hAnsi="宋体" w:eastAsia="仿宋_GB2312"/>
                <w:sz w:val="24"/>
                <w:szCs w:val="24"/>
              </w:rPr>
            </w:pPr>
            <w:r>
              <w:rPr>
                <w:rFonts w:ascii="仿宋_GB2312" w:hAnsi="宋体" w:eastAsia="仿宋_GB2312"/>
                <w:sz w:val="24"/>
                <w:szCs w:val="24"/>
              </w:rPr>
              <w:t>60</w:t>
            </w:r>
          </w:p>
        </w:tc>
        <w:tc>
          <w:tcPr>
            <w:tcW w:w="1667" w:type="pct"/>
            <w:shd w:val="clear" w:color="auto" w:fill="auto"/>
            <w:noWrap w:val="0"/>
            <w:vAlign w:val="center"/>
          </w:tcPr>
          <w:p>
            <w:pPr>
              <w:pStyle w:val="15"/>
              <w:spacing w:line="560" w:lineRule="exact"/>
              <w:contextualSpacing/>
              <w:rPr>
                <w:rFonts w:ascii="仿宋_GB2312" w:hAnsi="宋体" w:eastAsia="仿宋_GB2312"/>
                <w:sz w:val="24"/>
                <w:szCs w:val="24"/>
              </w:rPr>
            </w:pPr>
            <w:r>
              <w:rPr>
                <w:rFonts w:ascii="仿宋_GB2312" w:hAnsi="宋体" w:eastAsia="仿宋_GB2312"/>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21" w:type="pct"/>
            <w:shd w:val="clear" w:color="auto" w:fill="auto"/>
            <w:noWrap w:val="0"/>
            <w:vAlign w:val="center"/>
          </w:tcPr>
          <w:p>
            <w:pPr>
              <w:pStyle w:val="15"/>
              <w:spacing w:line="560" w:lineRule="exact"/>
              <w:contextualSpacing/>
              <w:rPr>
                <w:rFonts w:ascii="仿宋_GB2312" w:hAnsi="宋体" w:eastAsia="仿宋_GB2312"/>
                <w:sz w:val="24"/>
                <w:szCs w:val="24"/>
              </w:rPr>
            </w:pPr>
            <w:r>
              <w:rPr>
                <w:rFonts w:hint="eastAsia" w:ascii="仿宋_GB2312" w:hAnsi="宋体" w:eastAsia="仿宋_GB2312"/>
                <w:sz w:val="24"/>
                <w:szCs w:val="24"/>
              </w:rPr>
              <w:t>宁城县</w:t>
            </w:r>
          </w:p>
        </w:tc>
        <w:tc>
          <w:tcPr>
            <w:tcW w:w="1612" w:type="pct"/>
            <w:shd w:val="clear" w:color="auto" w:fill="auto"/>
            <w:noWrap w:val="0"/>
            <w:vAlign w:val="center"/>
          </w:tcPr>
          <w:p>
            <w:pPr>
              <w:pStyle w:val="15"/>
              <w:spacing w:line="560" w:lineRule="exact"/>
              <w:contextualSpacing/>
              <w:rPr>
                <w:rFonts w:ascii="仿宋_GB2312" w:hAnsi="宋体" w:eastAsia="仿宋_GB2312"/>
                <w:sz w:val="24"/>
                <w:szCs w:val="24"/>
              </w:rPr>
            </w:pPr>
            <w:r>
              <w:rPr>
                <w:rFonts w:ascii="仿宋_GB2312" w:hAnsi="宋体" w:eastAsia="仿宋_GB2312"/>
                <w:sz w:val="24"/>
                <w:szCs w:val="24"/>
              </w:rPr>
              <w:t>50</w:t>
            </w:r>
          </w:p>
        </w:tc>
        <w:tc>
          <w:tcPr>
            <w:tcW w:w="1667" w:type="pct"/>
            <w:shd w:val="clear" w:color="auto" w:fill="auto"/>
            <w:noWrap w:val="0"/>
            <w:vAlign w:val="center"/>
          </w:tcPr>
          <w:p>
            <w:pPr>
              <w:pStyle w:val="15"/>
              <w:spacing w:line="560" w:lineRule="exact"/>
              <w:contextualSpacing/>
              <w:rPr>
                <w:rFonts w:ascii="仿宋_GB2312" w:hAnsi="宋体" w:eastAsia="仿宋_GB2312"/>
                <w:sz w:val="24"/>
                <w:szCs w:val="24"/>
              </w:rPr>
            </w:pPr>
            <w:r>
              <w:rPr>
                <w:rFonts w:ascii="仿宋_GB2312" w:hAnsi="宋体" w:eastAsia="仿宋_GB2312"/>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21" w:type="pct"/>
            <w:shd w:val="clear" w:color="auto" w:fill="auto"/>
            <w:noWrap w:val="0"/>
            <w:vAlign w:val="center"/>
          </w:tcPr>
          <w:p>
            <w:pPr>
              <w:pStyle w:val="15"/>
              <w:spacing w:line="560" w:lineRule="exact"/>
              <w:contextualSpacing/>
              <w:rPr>
                <w:rFonts w:ascii="仿宋_GB2312" w:hAnsi="宋体" w:eastAsia="仿宋_GB2312"/>
                <w:sz w:val="24"/>
                <w:szCs w:val="24"/>
              </w:rPr>
            </w:pPr>
            <w:r>
              <w:rPr>
                <w:rFonts w:hint="eastAsia" w:ascii="仿宋_GB2312" w:hAnsi="宋体" w:eastAsia="仿宋_GB2312"/>
                <w:sz w:val="24"/>
                <w:szCs w:val="24"/>
              </w:rPr>
              <w:t>红山区</w:t>
            </w:r>
          </w:p>
        </w:tc>
        <w:tc>
          <w:tcPr>
            <w:tcW w:w="1612" w:type="pct"/>
            <w:shd w:val="clear" w:color="auto" w:fill="auto"/>
            <w:noWrap w:val="0"/>
            <w:vAlign w:val="center"/>
          </w:tcPr>
          <w:p>
            <w:pPr>
              <w:pStyle w:val="15"/>
              <w:spacing w:line="560" w:lineRule="exact"/>
              <w:contextualSpacing/>
              <w:rPr>
                <w:rFonts w:ascii="仿宋_GB2312" w:hAnsi="宋体" w:eastAsia="仿宋_GB2312"/>
                <w:sz w:val="24"/>
                <w:szCs w:val="24"/>
              </w:rPr>
            </w:pPr>
            <w:r>
              <w:rPr>
                <w:rFonts w:ascii="仿宋_GB2312" w:hAnsi="宋体" w:eastAsia="仿宋_GB2312"/>
                <w:sz w:val="24"/>
                <w:szCs w:val="24"/>
              </w:rPr>
              <w:t>20</w:t>
            </w:r>
          </w:p>
        </w:tc>
        <w:tc>
          <w:tcPr>
            <w:tcW w:w="1667" w:type="pct"/>
            <w:shd w:val="clear" w:color="auto" w:fill="auto"/>
            <w:noWrap w:val="0"/>
            <w:vAlign w:val="center"/>
          </w:tcPr>
          <w:p>
            <w:pPr>
              <w:pStyle w:val="15"/>
              <w:spacing w:line="560" w:lineRule="exact"/>
              <w:contextualSpacing/>
              <w:rPr>
                <w:rFonts w:ascii="仿宋_GB2312" w:hAnsi="宋体" w:eastAsia="仿宋_GB2312"/>
                <w:sz w:val="24"/>
                <w:szCs w:val="24"/>
              </w:rPr>
            </w:pPr>
            <w:r>
              <w:rPr>
                <w:rFonts w:ascii="仿宋_GB2312" w:hAnsi="宋体" w:eastAsia="仿宋_GB231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21" w:type="pct"/>
            <w:shd w:val="clear" w:color="auto" w:fill="auto"/>
            <w:noWrap w:val="0"/>
            <w:vAlign w:val="center"/>
          </w:tcPr>
          <w:p>
            <w:pPr>
              <w:pStyle w:val="15"/>
              <w:spacing w:line="560" w:lineRule="exact"/>
              <w:contextualSpacing/>
              <w:rPr>
                <w:rFonts w:ascii="仿宋_GB2312" w:hAnsi="宋体" w:eastAsia="仿宋_GB2312"/>
                <w:sz w:val="24"/>
                <w:szCs w:val="24"/>
              </w:rPr>
            </w:pPr>
            <w:r>
              <w:rPr>
                <w:rFonts w:hint="eastAsia" w:ascii="仿宋_GB2312" w:hAnsi="宋体" w:eastAsia="仿宋_GB2312"/>
                <w:sz w:val="24"/>
                <w:szCs w:val="24"/>
              </w:rPr>
              <w:t>合计</w:t>
            </w:r>
          </w:p>
        </w:tc>
        <w:tc>
          <w:tcPr>
            <w:tcW w:w="1612" w:type="pct"/>
            <w:shd w:val="clear" w:color="auto" w:fill="auto"/>
            <w:noWrap w:val="0"/>
            <w:vAlign w:val="center"/>
          </w:tcPr>
          <w:p>
            <w:pPr>
              <w:pStyle w:val="15"/>
              <w:spacing w:line="560" w:lineRule="exact"/>
              <w:contextualSpacing/>
              <w:rPr>
                <w:rFonts w:ascii="仿宋_GB2312" w:hAnsi="宋体" w:eastAsia="仿宋_GB2312"/>
                <w:sz w:val="24"/>
                <w:szCs w:val="24"/>
              </w:rPr>
            </w:pPr>
            <w:r>
              <w:rPr>
                <w:rFonts w:ascii="仿宋_GB2312" w:hAnsi="宋体" w:eastAsia="仿宋_GB2312"/>
                <w:sz w:val="24"/>
                <w:szCs w:val="24"/>
              </w:rPr>
              <w:t>850</w:t>
            </w:r>
          </w:p>
        </w:tc>
        <w:tc>
          <w:tcPr>
            <w:tcW w:w="1667" w:type="pct"/>
            <w:shd w:val="clear" w:color="auto" w:fill="auto"/>
            <w:noWrap w:val="0"/>
            <w:vAlign w:val="center"/>
          </w:tcPr>
          <w:p>
            <w:pPr>
              <w:pStyle w:val="15"/>
              <w:spacing w:line="560" w:lineRule="exact"/>
              <w:contextualSpacing/>
              <w:rPr>
                <w:rFonts w:ascii="仿宋_GB2312" w:hAnsi="宋体" w:eastAsia="仿宋_GB2312"/>
                <w:sz w:val="24"/>
                <w:szCs w:val="24"/>
              </w:rPr>
            </w:pPr>
            <w:r>
              <w:rPr>
                <w:rFonts w:ascii="仿宋_GB2312" w:hAnsi="宋体" w:eastAsia="仿宋_GB2312"/>
                <w:sz w:val="24"/>
                <w:szCs w:val="24"/>
              </w:rPr>
              <w:t>370</w:t>
            </w:r>
          </w:p>
        </w:tc>
      </w:tr>
    </w:tbl>
    <w:p>
      <w:pPr>
        <w:pStyle w:val="5"/>
        <w:ind w:firstLine="640"/>
        <w:rPr>
          <w:szCs w:val="32"/>
        </w:rPr>
      </w:pPr>
      <w:r>
        <w:rPr>
          <w:rFonts w:hint="eastAsia"/>
          <w:szCs w:val="32"/>
        </w:rPr>
        <w:t>二、矿山结构调整</w:t>
      </w:r>
    </w:p>
    <w:p>
      <w:pPr>
        <w:spacing w:line="560" w:lineRule="exact"/>
        <w:ind w:firstLine="640"/>
        <w:contextualSpacing/>
        <w:rPr>
          <w:rFonts w:ascii="仿宋_GB2312" w:eastAsia="仿宋_GB2312"/>
          <w:sz w:val="32"/>
          <w:szCs w:val="32"/>
        </w:rPr>
      </w:pPr>
      <w:r>
        <w:rPr>
          <w:rFonts w:hint="eastAsia" w:ascii="仿宋_GB2312" w:eastAsia="仿宋_GB2312"/>
          <w:sz w:val="32"/>
          <w:szCs w:val="32"/>
        </w:rPr>
        <w:t>着力提高矿山开发规模和水平，敦促矿山企业结构调整，节约集约利用资源，形成数量适中、规模适度、结构合理的矿山生产布局。发挥龙头矿山企业的作用，培育产业集群，鼓励和引导矿山企业进行资源和产业整合，实现矿山规模化、集约化发展，改变小型矿山数量多、矿区环境差、资源开采不合理等问题。通过提高新建矿山准入规模，严控新建矿山数量；通过资源整合、淘汰落后矿山、清退“僵尸”矿山，减少矿山数存量。到</w:t>
      </w:r>
      <w:r>
        <w:rPr>
          <w:rFonts w:ascii="仿宋_GB2312" w:eastAsia="仿宋_GB2312"/>
          <w:sz w:val="32"/>
          <w:szCs w:val="32"/>
        </w:rPr>
        <w:t>2025年，采矿权数量控制在680个以内，其中砂石土采矿权控制在180个以内。</w:t>
      </w:r>
    </w:p>
    <w:p>
      <w:pPr>
        <w:spacing w:line="560" w:lineRule="exact"/>
        <w:ind w:firstLine="640"/>
        <w:contextualSpacing/>
        <w:rPr>
          <w:rFonts w:ascii="仿宋_GB2312" w:eastAsia="仿宋_GB2312"/>
          <w:sz w:val="32"/>
          <w:szCs w:val="32"/>
        </w:rPr>
      </w:pPr>
    </w:p>
    <w:p>
      <w:pPr>
        <w:spacing w:line="560" w:lineRule="exact"/>
        <w:ind w:firstLine="560"/>
        <w:contextualSpacing/>
        <w:jc w:val="center"/>
        <w:rPr>
          <w:rFonts w:ascii="黑体" w:hAnsi="黑体" w:eastAsia="黑体"/>
          <w:sz w:val="24"/>
          <w:szCs w:val="24"/>
        </w:rPr>
      </w:pPr>
      <w:r>
        <w:rPr>
          <w:rFonts w:hint="eastAsia" w:ascii="黑体" w:hAnsi="黑体" w:eastAsia="黑体"/>
          <w:sz w:val="24"/>
          <w:szCs w:val="24"/>
        </w:rPr>
        <w:t>专栏</w:t>
      </w:r>
      <w:r>
        <w:rPr>
          <w:rFonts w:ascii="黑体" w:hAnsi="黑体" w:eastAsia="黑体"/>
          <w:sz w:val="24"/>
          <w:szCs w:val="24"/>
        </w:rPr>
        <w:t xml:space="preserve">7 </w:t>
      </w:r>
      <w:r>
        <w:rPr>
          <w:rFonts w:hint="eastAsia" w:ascii="黑体" w:hAnsi="黑体" w:eastAsia="黑体"/>
          <w:sz w:val="24"/>
          <w:szCs w:val="24"/>
        </w:rPr>
        <w:t>赤峰市旗、县（区）</w:t>
      </w:r>
      <w:r>
        <w:rPr>
          <w:rFonts w:ascii="黑体" w:hAnsi="黑体" w:eastAsia="黑体"/>
          <w:sz w:val="24"/>
          <w:szCs w:val="24"/>
        </w:rPr>
        <w:t>2025年采矿权</w:t>
      </w:r>
      <w:r>
        <w:rPr>
          <w:rFonts w:hint="eastAsia" w:ascii="黑体" w:hAnsi="黑体" w:eastAsia="黑体"/>
          <w:sz w:val="24"/>
          <w:szCs w:val="24"/>
        </w:rPr>
        <w:t>指标分解表</w:t>
      </w:r>
    </w:p>
    <w:tbl>
      <w:tblPr>
        <w:tblStyle w:val="10"/>
        <w:tblW w:w="8662" w:type="dxa"/>
        <w:tblInd w:w="93" w:type="dxa"/>
        <w:tblLayout w:type="autofit"/>
        <w:tblCellMar>
          <w:top w:w="0" w:type="dxa"/>
          <w:left w:w="108" w:type="dxa"/>
          <w:bottom w:w="0" w:type="dxa"/>
          <w:right w:w="108" w:type="dxa"/>
        </w:tblCellMar>
      </w:tblPr>
      <w:tblGrid>
        <w:gridCol w:w="2283"/>
        <w:gridCol w:w="2694"/>
        <w:gridCol w:w="3685"/>
      </w:tblGrid>
      <w:tr>
        <w:tblPrEx>
          <w:tblCellMar>
            <w:top w:w="0" w:type="dxa"/>
            <w:left w:w="108" w:type="dxa"/>
            <w:bottom w:w="0" w:type="dxa"/>
            <w:right w:w="108" w:type="dxa"/>
          </w:tblCellMar>
        </w:tblPrEx>
        <w:trPr>
          <w:trHeight w:val="567" w:hRule="atLeast"/>
          <w:tblHeader/>
        </w:trPr>
        <w:tc>
          <w:tcPr>
            <w:tcW w:w="2283"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5"/>
              <w:spacing w:line="560" w:lineRule="exact"/>
              <w:contextualSpacing/>
              <w:rPr>
                <w:rFonts w:ascii="黑体" w:hAnsi="黑体" w:eastAsia="黑体"/>
                <w:sz w:val="24"/>
                <w:szCs w:val="24"/>
              </w:rPr>
            </w:pPr>
            <w:r>
              <w:rPr>
                <w:rFonts w:hint="eastAsia" w:ascii="黑体" w:hAnsi="黑体" w:eastAsia="黑体"/>
                <w:sz w:val="24"/>
                <w:szCs w:val="24"/>
              </w:rPr>
              <w:t>旗县区名称</w:t>
            </w:r>
          </w:p>
        </w:tc>
        <w:tc>
          <w:tcPr>
            <w:tcW w:w="2694" w:type="dxa"/>
            <w:tcBorders>
              <w:top w:val="single" w:color="auto" w:sz="4" w:space="0"/>
              <w:left w:val="nil"/>
              <w:bottom w:val="single" w:color="auto" w:sz="4" w:space="0"/>
              <w:right w:val="single" w:color="auto" w:sz="4" w:space="0"/>
            </w:tcBorders>
            <w:shd w:val="clear" w:color="auto" w:fill="auto"/>
            <w:noWrap w:val="0"/>
            <w:vAlign w:val="center"/>
          </w:tcPr>
          <w:p>
            <w:pPr>
              <w:pStyle w:val="15"/>
              <w:spacing w:line="560" w:lineRule="exact"/>
              <w:contextualSpacing/>
              <w:rPr>
                <w:rFonts w:ascii="黑体" w:hAnsi="黑体" w:eastAsia="黑体"/>
                <w:sz w:val="24"/>
                <w:szCs w:val="24"/>
              </w:rPr>
            </w:pPr>
            <w:r>
              <w:rPr>
                <w:rFonts w:ascii="黑体" w:hAnsi="黑体" w:eastAsia="黑体"/>
                <w:sz w:val="24"/>
                <w:szCs w:val="24"/>
              </w:rPr>
              <w:t>2025年在期矿山总数（个）</w:t>
            </w:r>
          </w:p>
        </w:tc>
        <w:tc>
          <w:tcPr>
            <w:tcW w:w="3685" w:type="dxa"/>
            <w:tcBorders>
              <w:top w:val="single" w:color="auto" w:sz="4" w:space="0"/>
              <w:left w:val="nil"/>
              <w:bottom w:val="single" w:color="auto" w:sz="4" w:space="0"/>
              <w:right w:val="single" w:color="auto" w:sz="4" w:space="0"/>
            </w:tcBorders>
            <w:shd w:val="clear" w:color="auto" w:fill="auto"/>
            <w:noWrap w:val="0"/>
            <w:vAlign w:val="center"/>
          </w:tcPr>
          <w:p>
            <w:pPr>
              <w:pStyle w:val="15"/>
              <w:spacing w:line="560" w:lineRule="exact"/>
              <w:contextualSpacing/>
              <w:rPr>
                <w:rFonts w:ascii="黑体" w:hAnsi="黑体" w:eastAsia="黑体"/>
                <w:sz w:val="24"/>
                <w:szCs w:val="24"/>
              </w:rPr>
            </w:pPr>
            <w:r>
              <w:rPr>
                <w:rFonts w:ascii="黑体" w:hAnsi="黑体" w:eastAsia="黑体"/>
                <w:sz w:val="24"/>
                <w:szCs w:val="24"/>
              </w:rPr>
              <w:t>2025年砂石土类在期矿山总数（个）</w:t>
            </w:r>
          </w:p>
        </w:tc>
      </w:tr>
      <w:tr>
        <w:tblPrEx>
          <w:tblCellMar>
            <w:top w:w="0" w:type="dxa"/>
            <w:left w:w="108" w:type="dxa"/>
            <w:bottom w:w="0" w:type="dxa"/>
            <w:right w:w="108" w:type="dxa"/>
          </w:tblCellMar>
        </w:tblPrEx>
        <w:trPr>
          <w:trHeight w:val="567" w:hRule="atLeast"/>
        </w:trPr>
        <w:tc>
          <w:tcPr>
            <w:tcW w:w="2283" w:type="dxa"/>
            <w:tcBorders>
              <w:top w:val="nil"/>
              <w:left w:val="single" w:color="auto" w:sz="4" w:space="0"/>
              <w:bottom w:val="single" w:color="auto" w:sz="4" w:space="0"/>
              <w:right w:val="single" w:color="auto" w:sz="4" w:space="0"/>
            </w:tcBorders>
            <w:shd w:val="clear" w:color="auto" w:fill="auto"/>
            <w:noWrap/>
            <w:vAlign w:val="center"/>
          </w:tcPr>
          <w:p>
            <w:pPr>
              <w:pStyle w:val="15"/>
              <w:spacing w:line="560" w:lineRule="exact"/>
              <w:contextualSpacing/>
              <w:rPr>
                <w:rFonts w:ascii="仿宋_GB2312" w:hAnsi="宋体" w:eastAsia="仿宋_GB2312"/>
                <w:sz w:val="24"/>
                <w:szCs w:val="24"/>
              </w:rPr>
            </w:pPr>
            <w:r>
              <w:rPr>
                <w:rFonts w:hint="eastAsia" w:ascii="仿宋_GB2312" w:hAnsi="宋体" w:eastAsia="仿宋_GB2312"/>
                <w:sz w:val="24"/>
                <w:szCs w:val="24"/>
              </w:rPr>
              <w:t>阿鲁科尔沁旗</w:t>
            </w:r>
          </w:p>
        </w:tc>
        <w:tc>
          <w:tcPr>
            <w:tcW w:w="2694" w:type="dxa"/>
            <w:tcBorders>
              <w:top w:val="nil"/>
              <w:left w:val="nil"/>
              <w:bottom w:val="single" w:color="auto" w:sz="4" w:space="0"/>
              <w:right w:val="single" w:color="auto" w:sz="4" w:space="0"/>
            </w:tcBorders>
            <w:shd w:val="clear" w:color="auto" w:fill="auto"/>
            <w:noWrap/>
            <w:vAlign w:val="center"/>
          </w:tcPr>
          <w:p>
            <w:pPr>
              <w:pStyle w:val="15"/>
              <w:spacing w:line="560" w:lineRule="exact"/>
              <w:contextualSpacing/>
              <w:rPr>
                <w:rFonts w:ascii="仿宋_GB2312" w:hAnsi="宋体" w:eastAsia="仿宋_GB2312"/>
                <w:sz w:val="24"/>
                <w:szCs w:val="24"/>
              </w:rPr>
            </w:pPr>
            <w:r>
              <w:rPr>
                <w:rFonts w:ascii="仿宋_GB2312" w:hAnsi="宋体" w:eastAsia="仿宋_GB2312"/>
                <w:sz w:val="24"/>
                <w:szCs w:val="24"/>
              </w:rPr>
              <w:t>40</w:t>
            </w:r>
          </w:p>
        </w:tc>
        <w:tc>
          <w:tcPr>
            <w:tcW w:w="3685" w:type="dxa"/>
            <w:tcBorders>
              <w:top w:val="nil"/>
              <w:left w:val="nil"/>
              <w:bottom w:val="single" w:color="auto" w:sz="4" w:space="0"/>
              <w:right w:val="single" w:color="auto" w:sz="4" w:space="0"/>
            </w:tcBorders>
            <w:shd w:val="clear" w:color="auto" w:fill="auto"/>
            <w:noWrap/>
            <w:vAlign w:val="center"/>
          </w:tcPr>
          <w:p>
            <w:pPr>
              <w:pStyle w:val="15"/>
              <w:spacing w:line="560" w:lineRule="exact"/>
              <w:contextualSpacing/>
              <w:rPr>
                <w:rFonts w:ascii="仿宋_GB2312" w:hAnsi="宋体" w:eastAsia="仿宋_GB2312"/>
                <w:sz w:val="24"/>
                <w:szCs w:val="24"/>
              </w:rPr>
            </w:pPr>
            <w:r>
              <w:rPr>
                <w:rFonts w:ascii="仿宋_GB2312" w:hAnsi="宋体" w:eastAsia="仿宋_GB2312"/>
                <w:sz w:val="24"/>
                <w:szCs w:val="24"/>
              </w:rPr>
              <w:t>20</w:t>
            </w:r>
          </w:p>
        </w:tc>
      </w:tr>
      <w:tr>
        <w:tblPrEx>
          <w:tblCellMar>
            <w:top w:w="0" w:type="dxa"/>
            <w:left w:w="108" w:type="dxa"/>
            <w:bottom w:w="0" w:type="dxa"/>
            <w:right w:w="108" w:type="dxa"/>
          </w:tblCellMar>
        </w:tblPrEx>
        <w:trPr>
          <w:trHeight w:val="567" w:hRule="atLeast"/>
        </w:trPr>
        <w:tc>
          <w:tcPr>
            <w:tcW w:w="2283" w:type="dxa"/>
            <w:tcBorders>
              <w:top w:val="nil"/>
              <w:left w:val="single" w:color="auto" w:sz="4" w:space="0"/>
              <w:bottom w:val="single" w:color="auto" w:sz="4" w:space="0"/>
              <w:right w:val="single" w:color="auto" w:sz="4" w:space="0"/>
            </w:tcBorders>
            <w:shd w:val="clear" w:color="auto" w:fill="auto"/>
            <w:noWrap/>
            <w:vAlign w:val="center"/>
          </w:tcPr>
          <w:p>
            <w:pPr>
              <w:pStyle w:val="15"/>
              <w:spacing w:line="560" w:lineRule="exact"/>
              <w:contextualSpacing/>
              <w:rPr>
                <w:rFonts w:ascii="仿宋_GB2312" w:hAnsi="宋体" w:eastAsia="仿宋_GB2312"/>
                <w:sz w:val="24"/>
                <w:szCs w:val="24"/>
              </w:rPr>
            </w:pPr>
            <w:r>
              <w:rPr>
                <w:rFonts w:hint="eastAsia" w:ascii="仿宋_GB2312" w:hAnsi="宋体" w:eastAsia="仿宋_GB2312"/>
                <w:sz w:val="24"/>
                <w:szCs w:val="24"/>
              </w:rPr>
              <w:t>克什克腾旗</w:t>
            </w:r>
          </w:p>
        </w:tc>
        <w:tc>
          <w:tcPr>
            <w:tcW w:w="2694" w:type="dxa"/>
            <w:tcBorders>
              <w:top w:val="nil"/>
              <w:left w:val="nil"/>
              <w:bottom w:val="single" w:color="auto" w:sz="4" w:space="0"/>
              <w:right w:val="single" w:color="auto" w:sz="4" w:space="0"/>
            </w:tcBorders>
            <w:shd w:val="clear" w:color="auto" w:fill="auto"/>
            <w:noWrap/>
            <w:vAlign w:val="center"/>
          </w:tcPr>
          <w:p>
            <w:pPr>
              <w:pStyle w:val="15"/>
              <w:spacing w:line="560" w:lineRule="exact"/>
              <w:contextualSpacing/>
              <w:rPr>
                <w:rFonts w:ascii="仿宋_GB2312" w:hAnsi="宋体" w:eastAsia="仿宋_GB2312"/>
                <w:sz w:val="24"/>
                <w:szCs w:val="24"/>
              </w:rPr>
            </w:pPr>
            <w:r>
              <w:rPr>
                <w:rFonts w:ascii="仿宋_GB2312" w:hAnsi="宋体" w:eastAsia="仿宋_GB2312"/>
                <w:sz w:val="24"/>
                <w:szCs w:val="24"/>
              </w:rPr>
              <w:t>71</w:t>
            </w:r>
          </w:p>
        </w:tc>
        <w:tc>
          <w:tcPr>
            <w:tcW w:w="3685" w:type="dxa"/>
            <w:tcBorders>
              <w:top w:val="nil"/>
              <w:left w:val="nil"/>
              <w:bottom w:val="single" w:color="auto" w:sz="4" w:space="0"/>
              <w:right w:val="single" w:color="auto" w:sz="4" w:space="0"/>
            </w:tcBorders>
            <w:shd w:val="clear" w:color="auto" w:fill="auto"/>
            <w:noWrap/>
            <w:vAlign w:val="center"/>
          </w:tcPr>
          <w:p>
            <w:pPr>
              <w:pStyle w:val="15"/>
              <w:spacing w:line="560" w:lineRule="exact"/>
              <w:contextualSpacing/>
              <w:rPr>
                <w:rFonts w:ascii="仿宋_GB2312" w:hAnsi="宋体" w:eastAsia="仿宋_GB2312"/>
                <w:sz w:val="24"/>
                <w:szCs w:val="24"/>
              </w:rPr>
            </w:pPr>
            <w:r>
              <w:rPr>
                <w:rFonts w:ascii="仿宋_GB2312" w:hAnsi="宋体" w:eastAsia="仿宋_GB2312"/>
                <w:sz w:val="24"/>
                <w:szCs w:val="24"/>
              </w:rPr>
              <w:t>15</w:t>
            </w:r>
          </w:p>
        </w:tc>
      </w:tr>
      <w:tr>
        <w:tblPrEx>
          <w:tblCellMar>
            <w:top w:w="0" w:type="dxa"/>
            <w:left w:w="108" w:type="dxa"/>
            <w:bottom w:w="0" w:type="dxa"/>
            <w:right w:w="108" w:type="dxa"/>
          </w:tblCellMar>
        </w:tblPrEx>
        <w:trPr>
          <w:trHeight w:val="567" w:hRule="atLeast"/>
        </w:trPr>
        <w:tc>
          <w:tcPr>
            <w:tcW w:w="2283" w:type="dxa"/>
            <w:tcBorders>
              <w:top w:val="nil"/>
              <w:left w:val="single" w:color="auto" w:sz="4" w:space="0"/>
              <w:bottom w:val="single" w:color="auto" w:sz="4" w:space="0"/>
              <w:right w:val="single" w:color="auto" w:sz="4" w:space="0"/>
            </w:tcBorders>
            <w:shd w:val="clear" w:color="auto" w:fill="auto"/>
            <w:noWrap/>
            <w:vAlign w:val="center"/>
          </w:tcPr>
          <w:p>
            <w:pPr>
              <w:pStyle w:val="15"/>
              <w:spacing w:line="560" w:lineRule="exact"/>
              <w:contextualSpacing/>
              <w:rPr>
                <w:rFonts w:ascii="仿宋_GB2312" w:hAnsi="宋体" w:eastAsia="仿宋_GB2312"/>
                <w:sz w:val="24"/>
                <w:szCs w:val="24"/>
              </w:rPr>
            </w:pPr>
            <w:r>
              <w:rPr>
                <w:rFonts w:hint="eastAsia" w:ascii="仿宋_GB2312" w:hAnsi="宋体" w:eastAsia="仿宋_GB2312"/>
                <w:sz w:val="24"/>
                <w:szCs w:val="24"/>
              </w:rPr>
              <w:t>林西县</w:t>
            </w:r>
          </w:p>
        </w:tc>
        <w:tc>
          <w:tcPr>
            <w:tcW w:w="2694" w:type="dxa"/>
            <w:tcBorders>
              <w:top w:val="nil"/>
              <w:left w:val="nil"/>
              <w:bottom w:val="single" w:color="auto" w:sz="4" w:space="0"/>
              <w:right w:val="single" w:color="auto" w:sz="4" w:space="0"/>
            </w:tcBorders>
            <w:shd w:val="clear" w:color="auto" w:fill="auto"/>
            <w:noWrap/>
            <w:vAlign w:val="center"/>
          </w:tcPr>
          <w:p>
            <w:pPr>
              <w:pStyle w:val="15"/>
              <w:spacing w:line="560" w:lineRule="exact"/>
              <w:contextualSpacing/>
              <w:rPr>
                <w:rFonts w:ascii="仿宋_GB2312" w:hAnsi="宋体" w:eastAsia="仿宋_GB2312"/>
                <w:sz w:val="24"/>
                <w:szCs w:val="24"/>
              </w:rPr>
            </w:pPr>
            <w:r>
              <w:rPr>
                <w:rFonts w:ascii="仿宋_GB2312" w:hAnsi="宋体" w:eastAsia="仿宋_GB2312"/>
                <w:sz w:val="24"/>
                <w:szCs w:val="24"/>
              </w:rPr>
              <w:t>54</w:t>
            </w:r>
          </w:p>
        </w:tc>
        <w:tc>
          <w:tcPr>
            <w:tcW w:w="3685" w:type="dxa"/>
            <w:tcBorders>
              <w:top w:val="nil"/>
              <w:left w:val="nil"/>
              <w:bottom w:val="single" w:color="auto" w:sz="4" w:space="0"/>
              <w:right w:val="single" w:color="auto" w:sz="4" w:space="0"/>
            </w:tcBorders>
            <w:shd w:val="clear" w:color="auto" w:fill="auto"/>
            <w:noWrap/>
            <w:vAlign w:val="center"/>
          </w:tcPr>
          <w:p>
            <w:pPr>
              <w:pStyle w:val="15"/>
              <w:spacing w:line="560" w:lineRule="exact"/>
              <w:contextualSpacing/>
              <w:rPr>
                <w:rFonts w:ascii="仿宋_GB2312" w:hAnsi="宋体" w:eastAsia="仿宋_GB2312"/>
                <w:sz w:val="24"/>
                <w:szCs w:val="24"/>
              </w:rPr>
            </w:pPr>
            <w:r>
              <w:rPr>
                <w:rFonts w:ascii="仿宋_GB2312" w:hAnsi="宋体" w:eastAsia="仿宋_GB2312"/>
                <w:sz w:val="24"/>
                <w:szCs w:val="24"/>
              </w:rPr>
              <w:t>12</w:t>
            </w:r>
          </w:p>
        </w:tc>
      </w:tr>
      <w:tr>
        <w:tblPrEx>
          <w:tblCellMar>
            <w:top w:w="0" w:type="dxa"/>
            <w:left w:w="108" w:type="dxa"/>
            <w:bottom w:w="0" w:type="dxa"/>
            <w:right w:w="108" w:type="dxa"/>
          </w:tblCellMar>
        </w:tblPrEx>
        <w:trPr>
          <w:trHeight w:val="567" w:hRule="atLeast"/>
        </w:trPr>
        <w:tc>
          <w:tcPr>
            <w:tcW w:w="2283" w:type="dxa"/>
            <w:tcBorders>
              <w:top w:val="nil"/>
              <w:left w:val="single" w:color="auto" w:sz="4" w:space="0"/>
              <w:bottom w:val="single" w:color="auto" w:sz="4" w:space="0"/>
              <w:right w:val="single" w:color="auto" w:sz="4" w:space="0"/>
            </w:tcBorders>
            <w:shd w:val="clear" w:color="auto" w:fill="auto"/>
            <w:noWrap/>
            <w:vAlign w:val="center"/>
          </w:tcPr>
          <w:p>
            <w:pPr>
              <w:pStyle w:val="15"/>
              <w:spacing w:line="560" w:lineRule="exact"/>
              <w:contextualSpacing/>
              <w:rPr>
                <w:rFonts w:ascii="仿宋_GB2312" w:hAnsi="宋体" w:eastAsia="仿宋_GB2312"/>
                <w:sz w:val="24"/>
                <w:szCs w:val="24"/>
              </w:rPr>
            </w:pPr>
            <w:r>
              <w:rPr>
                <w:rFonts w:hint="eastAsia" w:ascii="仿宋_GB2312" w:hAnsi="宋体" w:eastAsia="仿宋_GB2312"/>
                <w:sz w:val="24"/>
                <w:szCs w:val="24"/>
              </w:rPr>
              <w:t>巴林右旗</w:t>
            </w:r>
          </w:p>
        </w:tc>
        <w:tc>
          <w:tcPr>
            <w:tcW w:w="2694" w:type="dxa"/>
            <w:tcBorders>
              <w:top w:val="nil"/>
              <w:left w:val="nil"/>
              <w:bottom w:val="single" w:color="auto" w:sz="4" w:space="0"/>
              <w:right w:val="single" w:color="auto" w:sz="4" w:space="0"/>
            </w:tcBorders>
            <w:shd w:val="clear" w:color="auto" w:fill="auto"/>
            <w:noWrap/>
            <w:vAlign w:val="center"/>
          </w:tcPr>
          <w:p>
            <w:pPr>
              <w:pStyle w:val="15"/>
              <w:spacing w:line="560" w:lineRule="exact"/>
              <w:contextualSpacing/>
              <w:rPr>
                <w:rFonts w:ascii="仿宋_GB2312" w:hAnsi="宋体" w:eastAsia="仿宋_GB2312"/>
                <w:sz w:val="24"/>
                <w:szCs w:val="24"/>
              </w:rPr>
            </w:pPr>
            <w:r>
              <w:rPr>
                <w:rFonts w:ascii="仿宋_GB2312" w:hAnsi="宋体" w:eastAsia="仿宋_GB2312"/>
                <w:sz w:val="24"/>
                <w:szCs w:val="24"/>
              </w:rPr>
              <w:t>33</w:t>
            </w:r>
          </w:p>
        </w:tc>
        <w:tc>
          <w:tcPr>
            <w:tcW w:w="3685" w:type="dxa"/>
            <w:tcBorders>
              <w:top w:val="nil"/>
              <w:left w:val="nil"/>
              <w:bottom w:val="single" w:color="auto" w:sz="4" w:space="0"/>
              <w:right w:val="single" w:color="auto" w:sz="4" w:space="0"/>
            </w:tcBorders>
            <w:shd w:val="clear" w:color="auto" w:fill="auto"/>
            <w:noWrap/>
            <w:vAlign w:val="center"/>
          </w:tcPr>
          <w:p>
            <w:pPr>
              <w:pStyle w:val="15"/>
              <w:spacing w:line="560" w:lineRule="exact"/>
              <w:contextualSpacing/>
              <w:rPr>
                <w:rFonts w:ascii="仿宋_GB2312" w:hAnsi="宋体" w:eastAsia="仿宋_GB2312"/>
                <w:sz w:val="24"/>
                <w:szCs w:val="24"/>
              </w:rPr>
            </w:pPr>
            <w:r>
              <w:rPr>
                <w:rFonts w:ascii="仿宋_GB2312" w:hAnsi="宋体" w:eastAsia="仿宋_GB2312"/>
                <w:sz w:val="24"/>
                <w:szCs w:val="24"/>
              </w:rPr>
              <w:t>15</w:t>
            </w:r>
          </w:p>
        </w:tc>
      </w:tr>
      <w:tr>
        <w:tblPrEx>
          <w:tblCellMar>
            <w:top w:w="0" w:type="dxa"/>
            <w:left w:w="108" w:type="dxa"/>
            <w:bottom w:w="0" w:type="dxa"/>
            <w:right w:w="108" w:type="dxa"/>
          </w:tblCellMar>
        </w:tblPrEx>
        <w:trPr>
          <w:trHeight w:val="567" w:hRule="atLeast"/>
        </w:trPr>
        <w:tc>
          <w:tcPr>
            <w:tcW w:w="2283" w:type="dxa"/>
            <w:tcBorders>
              <w:top w:val="nil"/>
              <w:left w:val="single" w:color="auto" w:sz="4" w:space="0"/>
              <w:bottom w:val="single" w:color="auto" w:sz="4" w:space="0"/>
              <w:right w:val="single" w:color="auto" w:sz="4" w:space="0"/>
            </w:tcBorders>
            <w:shd w:val="clear" w:color="auto" w:fill="auto"/>
            <w:noWrap/>
            <w:vAlign w:val="center"/>
          </w:tcPr>
          <w:p>
            <w:pPr>
              <w:pStyle w:val="15"/>
              <w:spacing w:line="560" w:lineRule="exact"/>
              <w:contextualSpacing/>
              <w:rPr>
                <w:rFonts w:ascii="仿宋_GB2312" w:hAnsi="宋体" w:eastAsia="仿宋_GB2312"/>
                <w:sz w:val="24"/>
                <w:szCs w:val="24"/>
              </w:rPr>
            </w:pPr>
            <w:r>
              <w:rPr>
                <w:rFonts w:hint="eastAsia" w:ascii="仿宋_GB2312" w:hAnsi="宋体" w:eastAsia="仿宋_GB2312"/>
                <w:sz w:val="24"/>
                <w:szCs w:val="24"/>
              </w:rPr>
              <w:t>巴林左旗</w:t>
            </w:r>
          </w:p>
        </w:tc>
        <w:tc>
          <w:tcPr>
            <w:tcW w:w="2694" w:type="dxa"/>
            <w:tcBorders>
              <w:top w:val="nil"/>
              <w:left w:val="nil"/>
              <w:bottom w:val="single" w:color="auto" w:sz="4" w:space="0"/>
              <w:right w:val="single" w:color="auto" w:sz="4" w:space="0"/>
            </w:tcBorders>
            <w:shd w:val="clear" w:color="auto" w:fill="auto"/>
            <w:noWrap/>
            <w:vAlign w:val="center"/>
          </w:tcPr>
          <w:p>
            <w:pPr>
              <w:pStyle w:val="15"/>
              <w:spacing w:line="560" w:lineRule="exact"/>
              <w:contextualSpacing/>
              <w:rPr>
                <w:rFonts w:ascii="仿宋_GB2312" w:hAnsi="宋体" w:eastAsia="仿宋_GB2312"/>
                <w:sz w:val="24"/>
                <w:szCs w:val="24"/>
              </w:rPr>
            </w:pPr>
            <w:r>
              <w:rPr>
                <w:rFonts w:ascii="仿宋_GB2312" w:hAnsi="宋体" w:eastAsia="仿宋_GB2312"/>
                <w:sz w:val="24"/>
                <w:szCs w:val="24"/>
              </w:rPr>
              <w:t>57</w:t>
            </w:r>
          </w:p>
        </w:tc>
        <w:tc>
          <w:tcPr>
            <w:tcW w:w="3685" w:type="dxa"/>
            <w:tcBorders>
              <w:top w:val="nil"/>
              <w:left w:val="nil"/>
              <w:bottom w:val="single" w:color="auto" w:sz="4" w:space="0"/>
              <w:right w:val="single" w:color="auto" w:sz="4" w:space="0"/>
            </w:tcBorders>
            <w:shd w:val="clear" w:color="auto" w:fill="auto"/>
            <w:noWrap/>
            <w:vAlign w:val="center"/>
          </w:tcPr>
          <w:p>
            <w:pPr>
              <w:pStyle w:val="15"/>
              <w:spacing w:line="560" w:lineRule="exact"/>
              <w:contextualSpacing/>
              <w:rPr>
                <w:rFonts w:ascii="仿宋_GB2312" w:hAnsi="宋体" w:eastAsia="仿宋_GB2312"/>
                <w:sz w:val="24"/>
                <w:szCs w:val="24"/>
              </w:rPr>
            </w:pPr>
            <w:r>
              <w:rPr>
                <w:rFonts w:ascii="仿宋_GB2312" w:hAnsi="宋体" w:eastAsia="仿宋_GB2312"/>
                <w:sz w:val="24"/>
                <w:szCs w:val="24"/>
              </w:rPr>
              <w:t>15</w:t>
            </w:r>
          </w:p>
        </w:tc>
      </w:tr>
      <w:tr>
        <w:tblPrEx>
          <w:tblCellMar>
            <w:top w:w="0" w:type="dxa"/>
            <w:left w:w="108" w:type="dxa"/>
            <w:bottom w:w="0" w:type="dxa"/>
            <w:right w:w="108" w:type="dxa"/>
          </w:tblCellMar>
        </w:tblPrEx>
        <w:trPr>
          <w:trHeight w:val="567" w:hRule="atLeast"/>
        </w:trPr>
        <w:tc>
          <w:tcPr>
            <w:tcW w:w="2283" w:type="dxa"/>
            <w:tcBorders>
              <w:top w:val="nil"/>
              <w:left w:val="single" w:color="auto" w:sz="4" w:space="0"/>
              <w:bottom w:val="single" w:color="auto" w:sz="4" w:space="0"/>
              <w:right w:val="single" w:color="auto" w:sz="4" w:space="0"/>
            </w:tcBorders>
            <w:shd w:val="clear" w:color="auto" w:fill="auto"/>
            <w:noWrap/>
            <w:vAlign w:val="center"/>
          </w:tcPr>
          <w:p>
            <w:pPr>
              <w:pStyle w:val="15"/>
              <w:spacing w:line="560" w:lineRule="exact"/>
              <w:contextualSpacing/>
              <w:rPr>
                <w:rFonts w:ascii="仿宋_GB2312" w:hAnsi="宋体" w:eastAsia="仿宋_GB2312"/>
                <w:sz w:val="24"/>
                <w:szCs w:val="24"/>
              </w:rPr>
            </w:pPr>
            <w:r>
              <w:rPr>
                <w:rFonts w:hint="eastAsia" w:ascii="仿宋_GB2312" w:hAnsi="宋体" w:eastAsia="仿宋_GB2312"/>
                <w:sz w:val="24"/>
                <w:szCs w:val="24"/>
              </w:rPr>
              <w:t>翁牛特旗</w:t>
            </w:r>
          </w:p>
        </w:tc>
        <w:tc>
          <w:tcPr>
            <w:tcW w:w="2694" w:type="dxa"/>
            <w:tcBorders>
              <w:top w:val="nil"/>
              <w:left w:val="nil"/>
              <w:bottom w:val="single" w:color="auto" w:sz="4" w:space="0"/>
              <w:right w:val="single" w:color="auto" w:sz="4" w:space="0"/>
            </w:tcBorders>
            <w:shd w:val="clear" w:color="auto" w:fill="auto"/>
            <w:noWrap/>
            <w:vAlign w:val="center"/>
          </w:tcPr>
          <w:p>
            <w:pPr>
              <w:pStyle w:val="15"/>
              <w:spacing w:line="560" w:lineRule="exact"/>
              <w:contextualSpacing/>
              <w:rPr>
                <w:rFonts w:ascii="仿宋_GB2312" w:hAnsi="宋体" w:eastAsia="仿宋_GB2312"/>
                <w:sz w:val="24"/>
                <w:szCs w:val="24"/>
              </w:rPr>
            </w:pPr>
            <w:r>
              <w:rPr>
                <w:rFonts w:ascii="仿宋_GB2312" w:hAnsi="宋体" w:eastAsia="仿宋_GB2312"/>
                <w:sz w:val="24"/>
                <w:szCs w:val="24"/>
              </w:rPr>
              <w:t>69</w:t>
            </w:r>
          </w:p>
        </w:tc>
        <w:tc>
          <w:tcPr>
            <w:tcW w:w="3685" w:type="dxa"/>
            <w:tcBorders>
              <w:top w:val="nil"/>
              <w:left w:val="nil"/>
              <w:bottom w:val="single" w:color="auto" w:sz="4" w:space="0"/>
              <w:right w:val="single" w:color="auto" w:sz="4" w:space="0"/>
            </w:tcBorders>
            <w:shd w:val="clear" w:color="auto" w:fill="auto"/>
            <w:noWrap/>
            <w:vAlign w:val="center"/>
          </w:tcPr>
          <w:p>
            <w:pPr>
              <w:pStyle w:val="15"/>
              <w:spacing w:line="560" w:lineRule="exact"/>
              <w:contextualSpacing/>
              <w:rPr>
                <w:rFonts w:ascii="仿宋_GB2312" w:hAnsi="宋体" w:eastAsia="仿宋_GB2312"/>
                <w:sz w:val="24"/>
                <w:szCs w:val="24"/>
              </w:rPr>
            </w:pPr>
            <w:r>
              <w:rPr>
                <w:rFonts w:ascii="仿宋_GB2312" w:hAnsi="宋体" w:eastAsia="仿宋_GB2312"/>
                <w:sz w:val="24"/>
                <w:szCs w:val="24"/>
              </w:rPr>
              <w:t>11</w:t>
            </w:r>
          </w:p>
        </w:tc>
      </w:tr>
      <w:tr>
        <w:tblPrEx>
          <w:tblCellMar>
            <w:top w:w="0" w:type="dxa"/>
            <w:left w:w="108" w:type="dxa"/>
            <w:bottom w:w="0" w:type="dxa"/>
            <w:right w:w="108" w:type="dxa"/>
          </w:tblCellMar>
        </w:tblPrEx>
        <w:trPr>
          <w:trHeight w:val="567" w:hRule="atLeast"/>
        </w:trPr>
        <w:tc>
          <w:tcPr>
            <w:tcW w:w="2283" w:type="dxa"/>
            <w:tcBorders>
              <w:top w:val="nil"/>
              <w:left w:val="single" w:color="auto" w:sz="4" w:space="0"/>
              <w:bottom w:val="single" w:color="auto" w:sz="4" w:space="0"/>
              <w:right w:val="single" w:color="auto" w:sz="4" w:space="0"/>
            </w:tcBorders>
            <w:shd w:val="clear" w:color="auto" w:fill="auto"/>
            <w:noWrap/>
            <w:vAlign w:val="center"/>
          </w:tcPr>
          <w:p>
            <w:pPr>
              <w:pStyle w:val="15"/>
              <w:spacing w:line="560" w:lineRule="exact"/>
              <w:contextualSpacing/>
              <w:rPr>
                <w:rFonts w:ascii="仿宋_GB2312" w:hAnsi="宋体" w:eastAsia="仿宋_GB2312"/>
                <w:sz w:val="24"/>
                <w:szCs w:val="24"/>
              </w:rPr>
            </w:pPr>
            <w:r>
              <w:rPr>
                <w:rFonts w:hint="eastAsia" w:ascii="仿宋_GB2312" w:hAnsi="宋体" w:eastAsia="仿宋_GB2312"/>
                <w:sz w:val="24"/>
                <w:szCs w:val="24"/>
              </w:rPr>
              <w:t>敖汉旗</w:t>
            </w:r>
          </w:p>
        </w:tc>
        <w:tc>
          <w:tcPr>
            <w:tcW w:w="2694" w:type="dxa"/>
            <w:tcBorders>
              <w:top w:val="nil"/>
              <w:left w:val="nil"/>
              <w:bottom w:val="single" w:color="auto" w:sz="4" w:space="0"/>
              <w:right w:val="single" w:color="auto" w:sz="4" w:space="0"/>
            </w:tcBorders>
            <w:shd w:val="clear" w:color="auto" w:fill="auto"/>
            <w:noWrap/>
            <w:vAlign w:val="center"/>
          </w:tcPr>
          <w:p>
            <w:pPr>
              <w:pStyle w:val="15"/>
              <w:spacing w:line="560" w:lineRule="exact"/>
              <w:contextualSpacing/>
              <w:rPr>
                <w:rFonts w:ascii="仿宋_GB2312" w:hAnsi="宋体" w:eastAsia="仿宋_GB2312"/>
                <w:sz w:val="24"/>
                <w:szCs w:val="24"/>
              </w:rPr>
            </w:pPr>
            <w:r>
              <w:rPr>
                <w:rFonts w:ascii="仿宋_GB2312" w:hAnsi="宋体" w:eastAsia="仿宋_GB2312"/>
                <w:sz w:val="24"/>
                <w:szCs w:val="24"/>
              </w:rPr>
              <w:t>62</w:t>
            </w:r>
          </w:p>
        </w:tc>
        <w:tc>
          <w:tcPr>
            <w:tcW w:w="3685" w:type="dxa"/>
            <w:tcBorders>
              <w:top w:val="nil"/>
              <w:left w:val="nil"/>
              <w:bottom w:val="single" w:color="auto" w:sz="4" w:space="0"/>
              <w:right w:val="single" w:color="auto" w:sz="4" w:space="0"/>
            </w:tcBorders>
            <w:shd w:val="clear" w:color="auto" w:fill="auto"/>
            <w:noWrap/>
            <w:vAlign w:val="center"/>
          </w:tcPr>
          <w:p>
            <w:pPr>
              <w:pStyle w:val="15"/>
              <w:spacing w:line="560" w:lineRule="exact"/>
              <w:contextualSpacing/>
              <w:rPr>
                <w:rFonts w:ascii="仿宋_GB2312" w:hAnsi="宋体" w:eastAsia="仿宋_GB2312"/>
                <w:sz w:val="24"/>
                <w:szCs w:val="24"/>
              </w:rPr>
            </w:pPr>
            <w:r>
              <w:rPr>
                <w:rFonts w:ascii="仿宋_GB2312" w:hAnsi="宋体" w:eastAsia="仿宋_GB2312"/>
                <w:sz w:val="24"/>
                <w:szCs w:val="24"/>
              </w:rPr>
              <w:t>20</w:t>
            </w:r>
          </w:p>
        </w:tc>
      </w:tr>
      <w:tr>
        <w:tblPrEx>
          <w:tblCellMar>
            <w:top w:w="0" w:type="dxa"/>
            <w:left w:w="108" w:type="dxa"/>
            <w:bottom w:w="0" w:type="dxa"/>
            <w:right w:w="108" w:type="dxa"/>
          </w:tblCellMar>
        </w:tblPrEx>
        <w:trPr>
          <w:trHeight w:val="567" w:hRule="atLeast"/>
        </w:trPr>
        <w:tc>
          <w:tcPr>
            <w:tcW w:w="2283" w:type="dxa"/>
            <w:tcBorders>
              <w:top w:val="nil"/>
              <w:left w:val="single" w:color="auto" w:sz="4" w:space="0"/>
              <w:bottom w:val="single" w:color="auto" w:sz="4" w:space="0"/>
              <w:right w:val="single" w:color="auto" w:sz="4" w:space="0"/>
            </w:tcBorders>
            <w:shd w:val="clear" w:color="auto" w:fill="auto"/>
            <w:noWrap/>
            <w:vAlign w:val="center"/>
          </w:tcPr>
          <w:p>
            <w:pPr>
              <w:pStyle w:val="15"/>
              <w:spacing w:line="560" w:lineRule="exact"/>
              <w:contextualSpacing/>
              <w:rPr>
                <w:rFonts w:ascii="仿宋_GB2312" w:hAnsi="宋体" w:eastAsia="仿宋_GB2312"/>
                <w:sz w:val="24"/>
                <w:szCs w:val="24"/>
              </w:rPr>
            </w:pPr>
            <w:r>
              <w:rPr>
                <w:rFonts w:hint="eastAsia" w:ascii="仿宋_GB2312" w:hAnsi="宋体" w:eastAsia="仿宋_GB2312"/>
                <w:sz w:val="24"/>
                <w:szCs w:val="24"/>
              </w:rPr>
              <w:t>松山区</w:t>
            </w:r>
          </w:p>
        </w:tc>
        <w:tc>
          <w:tcPr>
            <w:tcW w:w="2694" w:type="dxa"/>
            <w:tcBorders>
              <w:top w:val="nil"/>
              <w:left w:val="nil"/>
              <w:bottom w:val="single" w:color="auto" w:sz="4" w:space="0"/>
              <w:right w:val="single" w:color="auto" w:sz="4" w:space="0"/>
            </w:tcBorders>
            <w:shd w:val="clear" w:color="auto" w:fill="auto"/>
            <w:noWrap/>
            <w:vAlign w:val="center"/>
          </w:tcPr>
          <w:p>
            <w:pPr>
              <w:pStyle w:val="15"/>
              <w:spacing w:line="560" w:lineRule="exact"/>
              <w:contextualSpacing/>
              <w:rPr>
                <w:rFonts w:ascii="仿宋_GB2312" w:hAnsi="宋体" w:eastAsia="仿宋_GB2312"/>
                <w:sz w:val="24"/>
                <w:szCs w:val="24"/>
              </w:rPr>
            </w:pPr>
            <w:r>
              <w:rPr>
                <w:rFonts w:ascii="仿宋_GB2312" w:hAnsi="宋体" w:eastAsia="仿宋_GB2312"/>
                <w:sz w:val="24"/>
                <w:szCs w:val="24"/>
              </w:rPr>
              <w:t>86</w:t>
            </w:r>
          </w:p>
        </w:tc>
        <w:tc>
          <w:tcPr>
            <w:tcW w:w="3685" w:type="dxa"/>
            <w:tcBorders>
              <w:top w:val="nil"/>
              <w:left w:val="nil"/>
              <w:bottom w:val="single" w:color="auto" w:sz="4" w:space="0"/>
              <w:right w:val="single" w:color="auto" w:sz="4" w:space="0"/>
            </w:tcBorders>
            <w:shd w:val="clear" w:color="auto" w:fill="auto"/>
            <w:noWrap/>
            <w:vAlign w:val="center"/>
          </w:tcPr>
          <w:p>
            <w:pPr>
              <w:pStyle w:val="15"/>
              <w:spacing w:line="560" w:lineRule="exact"/>
              <w:contextualSpacing/>
              <w:rPr>
                <w:rFonts w:ascii="仿宋_GB2312" w:hAnsi="宋体" w:eastAsia="仿宋_GB2312"/>
                <w:sz w:val="24"/>
                <w:szCs w:val="24"/>
              </w:rPr>
            </w:pPr>
            <w:r>
              <w:rPr>
                <w:rFonts w:ascii="仿宋_GB2312" w:hAnsi="宋体" w:eastAsia="仿宋_GB2312"/>
                <w:sz w:val="24"/>
                <w:szCs w:val="24"/>
              </w:rPr>
              <w:t>22</w:t>
            </w:r>
          </w:p>
        </w:tc>
      </w:tr>
      <w:tr>
        <w:tblPrEx>
          <w:tblCellMar>
            <w:top w:w="0" w:type="dxa"/>
            <w:left w:w="108" w:type="dxa"/>
            <w:bottom w:w="0" w:type="dxa"/>
            <w:right w:w="108" w:type="dxa"/>
          </w:tblCellMar>
        </w:tblPrEx>
        <w:trPr>
          <w:trHeight w:val="567" w:hRule="atLeast"/>
        </w:trPr>
        <w:tc>
          <w:tcPr>
            <w:tcW w:w="2283" w:type="dxa"/>
            <w:tcBorders>
              <w:top w:val="nil"/>
              <w:left w:val="single" w:color="auto" w:sz="4" w:space="0"/>
              <w:bottom w:val="single" w:color="auto" w:sz="4" w:space="0"/>
              <w:right w:val="single" w:color="auto" w:sz="4" w:space="0"/>
            </w:tcBorders>
            <w:shd w:val="clear" w:color="auto" w:fill="auto"/>
            <w:noWrap/>
            <w:vAlign w:val="center"/>
          </w:tcPr>
          <w:p>
            <w:pPr>
              <w:pStyle w:val="15"/>
              <w:spacing w:line="560" w:lineRule="exact"/>
              <w:contextualSpacing/>
              <w:rPr>
                <w:rFonts w:ascii="仿宋_GB2312" w:hAnsi="宋体" w:eastAsia="仿宋_GB2312"/>
                <w:sz w:val="24"/>
                <w:szCs w:val="24"/>
              </w:rPr>
            </w:pPr>
            <w:r>
              <w:rPr>
                <w:rFonts w:hint="eastAsia" w:ascii="仿宋_GB2312" w:hAnsi="宋体" w:eastAsia="仿宋_GB2312"/>
                <w:sz w:val="24"/>
                <w:szCs w:val="24"/>
              </w:rPr>
              <w:t>红山区</w:t>
            </w:r>
          </w:p>
        </w:tc>
        <w:tc>
          <w:tcPr>
            <w:tcW w:w="2694" w:type="dxa"/>
            <w:tcBorders>
              <w:top w:val="nil"/>
              <w:left w:val="nil"/>
              <w:bottom w:val="single" w:color="auto" w:sz="4" w:space="0"/>
              <w:right w:val="single" w:color="auto" w:sz="4" w:space="0"/>
            </w:tcBorders>
            <w:shd w:val="clear" w:color="auto" w:fill="auto"/>
            <w:noWrap/>
            <w:vAlign w:val="center"/>
          </w:tcPr>
          <w:p>
            <w:pPr>
              <w:pStyle w:val="15"/>
              <w:spacing w:line="560" w:lineRule="exact"/>
              <w:contextualSpacing/>
              <w:rPr>
                <w:rFonts w:ascii="仿宋_GB2312" w:hAnsi="宋体" w:eastAsia="仿宋_GB2312"/>
                <w:sz w:val="24"/>
                <w:szCs w:val="24"/>
              </w:rPr>
            </w:pPr>
            <w:r>
              <w:rPr>
                <w:rFonts w:ascii="仿宋_GB2312" w:hAnsi="宋体" w:eastAsia="仿宋_GB2312"/>
                <w:sz w:val="24"/>
                <w:szCs w:val="24"/>
              </w:rPr>
              <w:t>3</w:t>
            </w:r>
          </w:p>
        </w:tc>
        <w:tc>
          <w:tcPr>
            <w:tcW w:w="3685" w:type="dxa"/>
            <w:tcBorders>
              <w:top w:val="nil"/>
              <w:left w:val="nil"/>
              <w:bottom w:val="single" w:color="auto" w:sz="4" w:space="0"/>
              <w:right w:val="single" w:color="auto" w:sz="4" w:space="0"/>
            </w:tcBorders>
            <w:shd w:val="clear" w:color="auto" w:fill="auto"/>
            <w:noWrap/>
            <w:vAlign w:val="center"/>
          </w:tcPr>
          <w:p>
            <w:pPr>
              <w:pStyle w:val="15"/>
              <w:spacing w:line="560" w:lineRule="exact"/>
              <w:contextualSpacing/>
              <w:rPr>
                <w:rFonts w:ascii="仿宋_GB2312" w:hAnsi="宋体" w:eastAsia="仿宋_GB2312"/>
                <w:sz w:val="24"/>
                <w:szCs w:val="24"/>
              </w:rPr>
            </w:pPr>
            <w:r>
              <w:rPr>
                <w:rFonts w:ascii="仿宋_GB2312" w:hAnsi="宋体" w:eastAsia="仿宋_GB2312"/>
                <w:sz w:val="24"/>
                <w:szCs w:val="24"/>
              </w:rPr>
              <w:t>2</w:t>
            </w:r>
          </w:p>
        </w:tc>
      </w:tr>
      <w:tr>
        <w:tblPrEx>
          <w:tblCellMar>
            <w:top w:w="0" w:type="dxa"/>
            <w:left w:w="108" w:type="dxa"/>
            <w:bottom w:w="0" w:type="dxa"/>
            <w:right w:w="108" w:type="dxa"/>
          </w:tblCellMar>
        </w:tblPrEx>
        <w:trPr>
          <w:trHeight w:val="567" w:hRule="atLeast"/>
        </w:trPr>
        <w:tc>
          <w:tcPr>
            <w:tcW w:w="2283" w:type="dxa"/>
            <w:tcBorders>
              <w:top w:val="nil"/>
              <w:left w:val="single" w:color="auto" w:sz="4" w:space="0"/>
              <w:bottom w:val="single" w:color="auto" w:sz="4" w:space="0"/>
              <w:right w:val="single" w:color="auto" w:sz="4" w:space="0"/>
            </w:tcBorders>
            <w:shd w:val="clear" w:color="auto" w:fill="auto"/>
            <w:noWrap/>
            <w:vAlign w:val="center"/>
          </w:tcPr>
          <w:p>
            <w:pPr>
              <w:pStyle w:val="15"/>
              <w:spacing w:line="560" w:lineRule="exact"/>
              <w:contextualSpacing/>
              <w:rPr>
                <w:rFonts w:ascii="仿宋_GB2312" w:hAnsi="宋体" w:eastAsia="仿宋_GB2312"/>
                <w:sz w:val="24"/>
                <w:szCs w:val="24"/>
              </w:rPr>
            </w:pPr>
            <w:r>
              <w:rPr>
                <w:rFonts w:hint="eastAsia" w:ascii="仿宋_GB2312" w:hAnsi="宋体" w:eastAsia="仿宋_GB2312"/>
                <w:sz w:val="24"/>
                <w:szCs w:val="24"/>
              </w:rPr>
              <w:t>元宝山区</w:t>
            </w:r>
          </w:p>
        </w:tc>
        <w:tc>
          <w:tcPr>
            <w:tcW w:w="2694" w:type="dxa"/>
            <w:tcBorders>
              <w:top w:val="nil"/>
              <w:left w:val="nil"/>
              <w:bottom w:val="single" w:color="auto" w:sz="4" w:space="0"/>
              <w:right w:val="single" w:color="auto" w:sz="4" w:space="0"/>
            </w:tcBorders>
            <w:shd w:val="clear" w:color="auto" w:fill="auto"/>
            <w:noWrap/>
            <w:vAlign w:val="center"/>
          </w:tcPr>
          <w:p>
            <w:pPr>
              <w:pStyle w:val="15"/>
              <w:spacing w:line="560" w:lineRule="exact"/>
              <w:contextualSpacing/>
              <w:rPr>
                <w:rFonts w:ascii="仿宋_GB2312" w:hAnsi="宋体" w:eastAsia="仿宋_GB2312"/>
                <w:sz w:val="24"/>
                <w:szCs w:val="24"/>
              </w:rPr>
            </w:pPr>
            <w:r>
              <w:rPr>
                <w:rFonts w:ascii="仿宋_GB2312" w:hAnsi="宋体" w:eastAsia="仿宋_GB2312"/>
                <w:sz w:val="24"/>
                <w:szCs w:val="24"/>
              </w:rPr>
              <w:t>18</w:t>
            </w:r>
          </w:p>
        </w:tc>
        <w:tc>
          <w:tcPr>
            <w:tcW w:w="3685" w:type="dxa"/>
            <w:tcBorders>
              <w:top w:val="nil"/>
              <w:left w:val="nil"/>
              <w:bottom w:val="single" w:color="auto" w:sz="4" w:space="0"/>
              <w:right w:val="single" w:color="auto" w:sz="4" w:space="0"/>
            </w:tcBorders>
            <w:shd w:val="clear" w:color="auto" w:fill="auto"/>
            <w:noWrap/>
            <w:vAlign w:val="center"/>
          </w:tcPr>
          <w:p>
            <w:pPr>
              <w:pStyle w:val="15"/>
              <w:spacing w:line="560" w:lineRule="exact"/>
              <w:contextualSpacing/>
              <w:rPr>
                <w:rFonts w:ascii="仿宋_GB2312" w:hAnsi="宋体" w:eastAsia="仿宋_GB2312"/>
                <w:sz w:val="24"/>
                <w:szCs w:val="24"/>
              </w:rPr>
            </w:pPr>
            <w:r>
              <w:rPr>
                <w:rFonts w:ascii="仿宋_GB2312" w:hAnsi="宋体" w:eastAsia="仿宋_GB2312"/>
                <w:sz w:val="24"/>
                <w:szCs w:val="24"/>
              </w:rPr>
              <w:t>9</w:t>
            </w:r>
          </w:p>
        </w:tc>
      </w:tr>
      <w:tr>
        <w:tblPrEx>
          <w:tblCellMar>
            <w:top w:w="0" w:type="dxa"/>
            <w:left w:w="108" w:type="dxa"/>
            <w:bottom w:w="0" w:type="dxa"/>
            <w:right w:w="108" w:type="dxa"/>
          </w:tblCellMar>
        </w:tblPrEx>
        <w:trPr>
          <w:trHeight w:val="567" w:hRule="atLeast"/>
        </w:trPr>
        <w:tc>
          <w:tcPr>
            <w:tcW w:w="2283" w:type="dxa"/>
            <w:tcBorders>
              <w:top w:val="nil"/>
              <w:left w:val="single" w:color="auto" w:sz="4" w:space="0"/>
              <w:bottom w:val="single" w:color="auto" w:sz="4" w:space="0"/>
              <w:right w:val="single" w:color="auto" w:sz="4" w:space="0"/>
            </w:tcBorders>
            <w:shd w:val="clear" w:color="auto" w:fill="auto"/>
            <w:noWrap/>
            <w:vAlign w:val="center"/>
          </w:tcPr>
          <w:p>
            <w:pPr>
              <w:pStyle w:val="15"/>
              <w:spacing w:line="560" w:lineRule="exact"/>
              <w:contextualSpacing/>
              <w:rPr>
                <w:rFonts w:ascii="仿宋_GB2312" w:hAnsi="宋体" w:eastAsia="仿宋_GB2312"/>
                <w:sz w:val="24"/>
                <w:szCs w:val="24"/>
              </w:rPr>
            </w:pPr>
            <w:r>
              <w:rPr>
                <w:rFonts w:hint="eastAsia" w:ascii="仿宋_GB2312" w:hAnsi="宋体" w:eastAsia="仿宋_GB2312"/>
                <w:sz w:val="24"/>
                <w:szCs w:val="24"/>
              </w:rPr>
              <w:t>喀喇沁旗</w:t>
            </w:r>
          </w:p>
        </w:tc>
        <w:tc>
          <w:tcPr>
            <w:tcW w:w="2694" w:type="dxa"/>
            <w:tcBorders>
              <w:top w:val="nil"/>
              <w:left w:val="nil"/>
              <w:bottom w:val="single" w:color="auto" w:sz="4" w:space="0"/>
              <w:right w:val="single" w:color="auto" w:sz="4" w:space="0"/>
            </w:tcBorders>
            <w:shd w:val="clear" w:color="auto" w:fill="auto"/>
            <w:noWrap/>
            <w:vAlign w:val="center"/>
          </w:tcPr>
          <w:p>
            <w:pPr>
              <w:pStyle w:val="15"/>
              <w:spacing w:line="560" w:lineRule="exact"/>
              <w:contextualSpacing/>
              <w:rPr>
                <w:rFonts w:ascii="仿宋_GB2312" w:hAnsi="宋体" w:eastAsia="仿宋_GB2312"/>
                <w:sz w:val="24"/>
                <w:szCs w:val="24"/>
              </w:rPr>
            </w:pPr>
            <w:r>
              <w:rPr>
                <w:rFonts w:ascii="仿宋_GB2312" w:hAnsi="宋体" w:eastAsia="仿宋_GB2312"/>
                <w:sz w:val="24"/>
                <w:szCs w:val="24"/>
              </w:rPr>
              <w:t>94</w:t>
            </w:r>
          </w:p>
        </w:tc>
        <w:tc>
          <w:tcPr>
            <w:tcW w:w="3685" w:type="dxa"/>
            <w:tcBorders>
              <w:top w:val="nil"/>
              <w:left w:val="nil"/>
              <w:bottom w:val="single" w:color="auto" w:sz="4" w:space="0"/>
              <w:right w:val="single" w:color="auto" w:sz="4" w:space="0"/>
            </w:tcBorders>
            <w:shd w:val="clear" w:color="auto" w:fill="auto"/>
            <w:noWrap/>
            <w:vAlign w:val="center"/>
          </w:tcPr>
          <w:p>
            <w:pPr>
              <w:pStyle w:val="15"/>
              <w:spacing w:line="560" w:lineRule="exact"/>
              <w:contextualSpacing/>
              <w:rPr>
                <w:rFonts w:ascii="仿宋_GB2312" w:hAnsi="宋体" w:eastAsia="仿宋_GB2312"/>
                <w:sz w:val="24"/>
                <w:szCs w:val="24"/>
              </w:rPr>
            </w:pPr>
            <w:r>
              <w:rPr>
                <w:rFonts w:ascii="仿宋_GB2312" w:hAnsi="宋体" w:eastAsia="仿宋_GB2312"/>
                <w:sz w:val="24"/>
                <w:szCs w:val="24"/>
              </w:rPr>
              <w:t>20</w:t>
            </w:r>
          </w:p>
        </w:tc>
      </w:tr>
      <w:tr>
        <w:tblPrEx>
          <w:tblCellMar>
            <w:top w:w="0" w:type="dxa"/>
            <w:left w:w="108" w:type="dxa"/>
            <w:bottom w:w="0" w:type="dxa"/>
            <w:right w:w="108" w:type="dxa"/>
          </w:tblCellMar>
        </w:tblPrEx>
        <w:trPr>
          <w:trHeight w:val="567" w:hRule="atLeast"/>
        </w:trPr>
        <w:tc>
          <w:tcPr>
            <w:tcW w:w="2283" w:type="dxa"/>
            <w:tcBorders>
              <w:top w:val="nil"/>
              <w:left w:val="single" w:color="auto" w:sz="4" w:space="0"/>
              <w:bottom w:val="single" w:color="auto" w:sz="4" w:space="0"/>
              <w:right w:val="single" w:color="auto" w:sz="4" w:space="0"/>
            </w:tcBorders>
            <w:shd w:val="clear" w:color="auto" w:fill="auto"/>
            <w:noWrap/>
            <w:vAlign w:val="center"/>
          </w:tcPr>
          <w:p>
            <w:pPr>
              <w:pStyle w:val="15"/>
              <w:spacing w:line="560" w:lineRule="exact"/>
              <w:contextualSpacing/>
              <w:rPr>
                <w:rFonts w:ascii="仿宋_GB2312" w:hAnsi="宋体" w:eastAsia="仿宋_GB2312"/>
                <w:sz w:val="24"/>
                <w:szCs w:val="24"/>
              </w:rPr>
            </w:pPr>
            <w:r>
              <w:rPr>
                <w:rFonts w:hint="eastAsia" w:ascii="仿宋_GB2312" w:hAnsi="宋体" w:eastAsia="仿宋_GB2312"/>
                <w:sz w:val="24"/>
                <w:szCs w:val="24"/>
              </w:rPr>
              <w:t>宁城县</w:t>
            </w:r>
          </w:p>
        </w:tc>
        <w:tc>
          <w:tcPr>
            <w:tcW w:w="2694" w:type="dxa"/>
            <w:tcBorders>
              <w:top w:val="nil"/>
              <w:left w:val="nil"/>
              <w:bottom w:val="single" w:color="auto" w:sz="4" w:space="0"/>
              <w:right w:val="single" w:color="auto" w:sz="4" w:space="0"/>
            </w:tcBorders>
            <w:shd w:val="clear" w:color="auto" w:fill="auto"/>
            <w:noWrap/>
            <w:vAlign w:val="center"/>
          </w:tcPr>
          <w:p>
            <w:pPr>
              <w:pStyle w:val="15"/>
              <w:spacing w:line="560" w:lineRule="exact"/>
              <w:contextualSpacing/>
              <w:rPr>
                <w:rFonts w:ascii="仿宋_GB2312" w:hAnsi="宋体" w:eastAsia="仿宋_GB2312"/>
                <w:sz w:val="24"/>
                <w:szCs w:val="24"/>
              </w:rPr>
            </w:pPr>
            <w:r>
              <w:rPr>
                <w:rFonts w:ascii="仿宋_GB2312" w:hAnsi="宋体" w:eastAsia="仿宋_GB2312"/>
                <w:sz w:val="24"/>
                <w:szCs w:val="24"/>
              </w:rPr>
              <w:t>76</w:t>
            </w:r>
          </w:p>
        </w:tc>
        <w:tc>
          <w:tcPr>
            <w:tcW w:w="3685" w:type="dxa"/>
            <w:tcBorders>
              <w:top w:val="nil"/>
              <w:left w:val="nil"/>
              <w:bottom w:val="single" w:color="auto" w:sz="4" w:space="0"/>
              <w:right w:val="single" w:color="auto" w:sz="4" w:space="0"/>
            </w:tcBorders>
            <w:shd w:val="clear" w:color="auto" w:fill="auto"/>
            <w:noWrap/>
            <w:vAlign w:val="center"/>
          </w:tcPr>
          <w:p>
            <w:pPr>
              <w:pStyle w:val="15"/>
              <w:spacing w:line="560" w:lineRule="exact"/>
              <w:contextualSpacing/>
              <w:rPr>
                <w:rFonts w:ascii="仿宋_GB2312" w:hAnsi="宋体" w:eastAsia="仿宋_GB2312"/>
                <w:sz w:val="24"/>
                <w:szCs w:val="24"/>
              </w:rPr>
            </w:pPr>
            <w:r>
              <w:rPr>
                <w:rFonts w:ascii="仿宋_GB2312" w:hAnsi="宋体" w:eastAsia="仿宋_GB2312"/>
                <w:sz w:val="24"/>
                <w:szCs w:val="24"/>
              </w:rPr>
              <w:t>16</w:t>
            </w:r>
          </w:p>
        </w:tc>
      </w:tr>
      <w:tr>
        <w:tblPrEx>
          <w:tblCellMar>
            <w:top w:w="0" w:type="dxa"/>
            <w:left w:w="108" w:type="dxa"/>
            <w:bottom w:w="0" w:type="dxa"/>
            <w:right w:w="108" w:type="dxa"/>
          </w:tblCellMar>
        </w:tblPrEx>
        <w:trPr>
          <w:trHeight w:val="567" w:hRule="atLeast"/>
        </w:trPr>
        <w:tc>
          <w:tcPr>
            <w:tcW w:w="2283" w:type="dxa"/>
            <w:tcBorders>
              <w:top w:val="nil"/>
              <w:left w:val="single" w:color="auto" w:sz="4" w:space="0"/>
              <w:bottom w:val="single" w:color="auto" w:sz="4" w:space="0"/>
              <w:right w:val="single" w:color="auto" w:sz="4" w:space="0"/>
            </w:tcBorders>
            <w:shd w:val="clear" w:color="auto" w:fill="auto"/>
            <w:noWrap/>
            <w:vAlign w:val="center"/>
          </w:tcPr>
          <w:p>
            <w:pPr>
              <w:pStyle w:val="15"/>
              <w:spacing w:line="560" w:lineRule="exact"/>
              <w:contextualSpacing/>
              <w:rPr>
                <w:rFonts w:ascii="仿宋_GB2312" w:hAnsi="宋体" w:eastAsia="仿宋_GB2312"/>
                <w:sz w:val="24"/>
                <w:szCs w:val="24"/>
              </w:rPr>
            </w:pPr>
            <w:r>
              <w:rPr>
                <w:rFonts w:hint="eastAsia" w:ascii="仿宋_GB2312" w:hAnsi="宋体" w:eastAsia="仿宋_GB2312"/>
                <w:sz w:val="24"/>
                <w:szCs w:val="24"/>
              </w:rPr>
              <w:t>总计</w:t>
            </w:r>
          </w:p>
        </w:tc>
        <w:tc>
          <w:tcPr>
            <w:tcW w:w="2694" w:type="dxa"/>
            <w:tcBorders>
              <w:top w:val="nil"/>
              <w:left w:val="nil"/>
              <w:bottom w:val="single" w:color="auto" w:sz="4" w:space="0"/>
              <w:right w:val="single" w:color="auto" w:sz="4" w:space="0"/>
            </w:tcBorders>
            <w:shd w:val="clear" w:color="auto" w:fill="auto"/>
            <w:noWrap/>
            <w:vAlign w:val="center"/>
          </w:tcPr>
          <w:p>
            <w:pPr>
              <w:pStyle w:val="15"/>
              <w:spacing w:line="560" w:lineRule="exact"/>
              <w:contextualSpacing/>
              <w:rPr>
                <w:rFonts w:ascii="仿宋_GB2312" w:hAnsi="宋体" w:eastAsia="仿宋_GB2312"/>
                <w:sz w:val="24"/>
                <w:szCs w:val="24"/>
              </w:rPr>
            </w:pPr>
            <w:r>
              <w:rPr>
                <w:rFonts w:hint="eastAsia" w:ascii="仿宋_GB2312" w:hAnsi="宋体" w:eastAsia="仿宋_GB2312"/>
                <w:sz w:val="24"/>
                <w:szCs w:val="24"/>
              </w:rPr>
              <w:t>≤</w:t>
            </w:r>
            <w:r>
              <w:rPr>
                <w:rFonts w:ascii="仿宋_GB2312" w:hAnsi="宋体" w:eastAsia="仿宋_GB2312"/>
                <w:sz w:val="24"/>
                <w:szCs w:val="24"/>
              </w:rPr>
              <w:t>680（663）</w:t>
            </w:r>
          </w:p>
        </w:tc>
        <w:tc>
          <w:tcPr>
            <w:tcW w:w="3685" w:type="dxa"/>
            <w:tcBorders>
              <w:top w:val="nil"/>
              <w:left w:val="nil"/>
              <w:bottom w:val="single" w:color="auto" w:sz="4" w:space="0"/>
              <w:right w:val="single" w:color="auto" w:sz="4" w:space="0"/>
            </w:tcBorders>
            <w:shd w:val="clear" w:color="auto" w:fill="auto"/>
            <w:noWrap/>
            <w:vAlign w:val="center"/>
          </w:tcPr>
          <w:p>
            <w:pPr>
              <w:pStyle w:val="15"/>
              <w:spacing w:line="560" w:lineRule="exact"/>
              <w:contextualSpacing/>
              <w:rPr>
                <w:rFonts w:ascii="仿宋_GB2312" w:hAnsi="宋体" w:eastAsia="仿宋_GB2312"/>
                <w:sz w:val="24"/>
                <w:szCs w:val="24"/>
              </w:rPr>
            </w:pPr>
            <w:r>
              <w:rPr>
                <w:rFonts w:hint="eastAsia" w:ascii="仿宋_GB2312" w:hAnsi="宋体" w:eastAsia="仿宋_GB2312"/>
                <w:sz w:val="24"/>
                <w:szCs w:val="24"/>
              </w:rPr>
              <w:t>≤</w:t>
            </w:r>
            <w:r>
              <w:rPr>
                <w:rFonts w:ascii="仿宋_GB2312" w:hAnsi="宋体" w:eastAsia="仿宋_GB2312"/>
                <w:sz w:val="24"/>
                <w:szCs w:val="24"/>
              </w:rPr>
              <w:t>180（177）</w:t>
            </w:r>
          </w:p>
        </w:tc>
      </w:tr>
    </w:tbl>
    <w:p>
      <w:pPr>
        <w:spacing w:line="560" w:lineRule="exact"/>
        <w:ind w:firstLine="640"/>
        <w:contextualSpacing/>
        <w:rPr>
          <w:rFonts w:ascii="仿宋_GB2312" w:eastAsia="仿宋_GB2312"/>
          <w:sz w:val="32"/>
          <w:szCs w:val="32"/>
        </w:rPr>
      </w:pPr>
      <w:r>
        <w:rPr>
          <w:rFonts w:hint="eastAsia" w:ascii="仿宋_GB2312" w:eastAsia="仿宋_GB2312"/>
          <w:sz w:val="32"/>
          <w:szCs w:val="32"/>
        </w:rPr>
        <w:t>加强对砂石土等小矿的管理，严格规模准入。原则上除富铁、铜、金、地热、矿泉水等矿种外，不再新设小型以下矿山。至</w:t>
      </w:r>
      <w:r>
        <w:rPr>
          <w:rFonts w:ascii="仿宋_GB2312" w:eastAsia="仿宋_GB2312"/>
          <w:sz w:val="32"/>
          <w:szCs w:val="32"/>
        </w:rPr>
        <w:t>2025年，大中型矿山比例达到25%。</w:t>
      </w:r>
    </w:p>
    <w:p>
      <w:pPr>
        <w:spacing w:line="560" w:lineRule="exact"/>
        <w:ind w:firstLine="560"/>
        <w:contextualSpacing/>
        <w:jc w:val="center"/>
        <w:rPr>
          <w:rFonts w:ascii="黑体" w:hAnsi="黑体" w:eastAsia="黑体"/>
          <w:sz w:val="24"/>
          <w:szCs w:val="24"/>
        </w:rPr>
      </w:pPr>
      <w:r>
        <w:rPr>
          <w:rFonts w:hint="eastAsia" w:ascii="黑体" w:hAnsi="黑体" w:eastAsia="黑体"/>
          <w:sz w:val="24"/>
          <w:szCs w:val="24"/>
        </w:rPr>
        <w:t>专栏</w:t>
      </w:r>
      <w:r>
        <w:rPr>
          <w:rFonts w:ascii="黑体" w:hAnsi="黑体" w:eastAsia="黑体"/>
          <w:sz w:val="24"/>
          <w:szCs w:val="24"/>
        </w:rPr>
        <w:t xml:space="preserve">8 </w:t>
      </w:r>
      <w:r>
        <w:rPr>
          <w:rFonts w:hint="eastAsia" w:ascii="黑体" w:hAnsi="黑体" w:eastAsia="黑体"/>
          <w:sz w:val="24"/>
          <w:szCs w:val="24"/>
        </w:rPr>
        <w:t>主要矿种新建矿山最低开采规模</w:t>
      </w:r>
    </w:p>
    <w:tbl>
      <w:tblPr>
        <w:tblStyle w:val="10"/>
        <w:tblW w:w="8634" w:type="dxa"/>
        <w:tblInd w:w="93" w:type="dxa"/>
        <w:tblLayout w:type="autofit"/>
        <w:tblCellMar>
          <w:top w:w="0" w:type="dxa"/>
          <w:left w:w="108" w:type="dxa"/>
          <w:bottom w:w="0" w:type="dxa"/>
          <w:right w:w="108" w:type="dxa"/>
        </w:tblCellMar>
      </w:tblPr>
      <w:tblGrid>
        <w:gridCol w:w="2283"/>
        <w:gridCol w:w="2127"/>
        <w:gridCol w:w="1531"/>
        <w:gridCol w:w="1276"/>
        <w:gridCol w:w="1417"/>
      </w:tblGrid>
      <w:tr>
        <w:tblPrEx>
          <w:tblCellMar>
            <w:top w:w="0" w:type="dxa"/>
            <w:left w:w="108" w:type="dxa"/>
            <w:bottom w:w="0" w:type="dxa"/>
            <w:right w:w="108" w:type="dxa"/>
          </w:tblCellMar>
        </w:tblPrEx>
        <w:trPr>
          <w:trHeight w:val="567" w:hRule="atLeast"/>
          <w:tblHeader/>
        </w:trPr>
        <w:tc>
          <w:tcPr>
            <w:tcW w:w="2283" w:type="dxa"/>
            <w:vMerge w:val="restart"/>
            <w:tcBorders>
              <w:top w:val="single" w:color="auto" w:sz="8" w:space="0"/>
              <w:left w:val="single" w:color="auto" w:sz="8" w:space="0"/>
              <w:bottom w:val="single" w:color="000000" w:sz="8" w:space="0"/>
              <w:right w:val="single" w:color="auto" w:sz="8" w:space="0"/>
            </w:tcBorders>
            <w:shd w:val="clear" w:color="auto" w:fill="auto"/>
            <w:noWrap w:val="0"/>
            <w:vAlign w:val="center"/>
          </w:tcPr>
          <w:p>
            <w:pPr>
              <w:pStyle w:val="15"/>
              <w:spacing w:line="560" w:lineRule="exact"/>
              <w:contextualSpacing/>
              <w:rPr>
                <w:rFonts w:ascii="黑体" w:hAnsi="黑体" w:eastAsia="黑体"/>
                <w:sz w:val="24"/>
                <w:szCs w:val="24"/>
              </w:rPr>
            </w:pPr>
            <w:r>
              <w:rPr>
                <w:rFonts w:hint="eastAsia" w:ascii="黑体" w:hAnsi="黑体" w:eastAsia="黑体"/>
                <w:sz w:val="24"/>
                <w:szCs w:val="24"/>
              </w:rPr>
              <w:t>矿种</w:t>
            </w:r>
          </w:p>
        </w:tc>
        <w:tc>
          <w:tcPr>
            <w:tcW w:w="2127" w:type="dxa"/>
            <w:vMerge w:val="restart"/>
            <w:tcBorders>
              <w:top w:val="single" w:color="auto" w:sz="8" w:space="0"/>
              <w:left w:val="single" w:color="auto" w:sz="8" w:space="0"/>
              <w:bottom w:val="single" w:color="000000" w:sz="8" w:space="0"/>
              <w:right w:val="single" w:color="auto" w:sz="8" w:space="0"/>
            </w:tcBorders>
            <w:shd w:val="clear" w:color="auto" w:fill="auto"/>
            <w:noWrap w:val="0"/>
            <w:vAlign w:val="center"/>
          </w:tcPr>
          <w:p>
            <w:pPr>
              <w:pStyle w:val="15"/>
              <w:spacing w:line="560" w:lineRule="exact"/>
              <w:contextualSpacing/>
              <w:rPr>
                <w:rFonts w:ascii="黑体" w:hAnsi="黑体" w:eastAsia="黑体"/>
                <w:sz w:val="24"/>
                <w:szCs w:val="24"/>
              </w:rPr>
            </w:pPr>
            <w:r>
              <w:rPr>
                <w:rFonts w:hint="eastAsia" w:ascii="黑体" w:hAnsi="黑体" w:eastAsia="黑体"/>
                <w:sz w:val="24"/>
                <w:szCs w:val="24"/>
              </w:rPr>
              <w:t>单位</w:t>
            </w:r>
          </w:p>
        </w:tc>
        <w:tc>
          <w:tcPr>
            <w:tcW w:w="4224" w:type="dxa"/>
            <w:gridSpan w:val="3"/>
            <w:tcBorders>
              <w:top w:val="single" w:color="auto" w:sz="8" w:space="0"/>
              <w:left w:val="nil"/>
              <w:bottom w:val="single" w:color="auto" w:sz="8" w:space="0"/>
              <w:right w:val="single" w:color="000000" w:sz="8" w:space="0"/>
            </w:tcBorders>
            <w:shd w:val="clear" w:color="auto" w:fill="auto"/>
            <w:noWrap w:val="0"/>
            <w:vAlign w:val="center"/>
          </w:tcPr>
          <w:p>
            <w:pPr>
              <w:pStyle w:val="15"/>
              <w:spacing w:line="560" w:lineRule="exact"/>
              <w:contextualSpacing/>
              <w:rPr>
                <w:rFonts w:ascii="黑体" w:hAnsi="黑体" w:eastAsia="黑体"/>
                <w:sz w:val="24"/>
                <w:szCs w:val="24"/>
              </w:rPr>
            </w:pPr>
            <w:r>
              <w:rPr>
                <w:rFonts w:hint="eastAsia" w:ascii="黑体" w:hAnsi="黑体" w:eastAsia="黑体"/>
                <w:sz w:val="24"/>
                <w:szCs w:val="24"/>
              </w:rPr>
              <w:t>矿山规模</w:t>
            </w:r>
          </w:p>
        </w:tc>
      </w:tr>
      <w:tr>
        <w:tblPrEx>
          <w:tblCellMar>
            <w:top w:w="0" w:type="dxa"/>
            <w:left w:w="108" w:type="dxa"/>
            <w:bottom w:w="0" w:type="dxa"/>
            <w:right w:w="108" w:type="dxa"/>
          </w:tblCellMar>
        </w:tblPrEx>
        <w:trPr>
          <w:trHeight w:val="567" w:hRule="atLeast"/>
          <w:tblHeader/>
        </w:trPr>
        <w:tc>
          <w:tcPr>
            <w:tcW w:w="2283" w:type="dxa"/>
            <w:vMerge w:val="continue"/>
            <w:tcBorders>
              <w:top w:val="single" w:color="auto" w:sz="8" w:space="0"/>
              <w:left w:val="single" w:color="auto" w:sz="8" w:space="0"/>
              <w:bottom w:val="single" w:color="000000" w:sz="8" w:space="0"/>
              <w:right w:val="single" w:color="auto" w:sz="8" w:space="0"/>
            </w:tcBorders>
            <w:shd w:val="clear" w:color="auto" w:fill="auto"/>
            <w:noWrap w:val="0"/>
            <w:vAlign w:val="center"/>
          </w:tcPr>
          <w:p>
            <w:pPr>
              <w:pStyle w:val="15"/>
              <w:spacing w:line="560" w:lineRule="exact"/>
              <w:contextualSpacing/>
              <w:rPr>
                <w:rFonts w:ascii="黑体" w:hAnsi="黑体" w:eastAsia="黑体"/>
                <w:sz w:val="24"/>
                <w:szCs w:val="24"/>
              </w:rPr>
            </w:pPr>
          </w:p>
        </w:tc>
        <w:tc>
          <w:tcPr>
            <w:tcW w:w="2127" w:type="dxa"/>
            <w:vMerge w:val="continue"/>
            <w:tcBorders>
              <w:top w:val="single" w:color="auto" w:sz="8" w:space="0"/>
              <w:left w:val="single" w:color="auto" w:sz="8" w:space="0"/>
              <w:bottom w:val="single" w:color="000000" w:sz="8" w:space="0"/>
              <w:right w:val="single" w:color="auto" w:sz="8" w:space="0"/>
            </w:tcBorders>
            <w:shd w:val="clear" w:color="auto" w:fill="auto"/>
            <w:noWrap w:val="0"/>
            <w:vAlign w:val="center"/>
          </w:tcPr>
          <w:p>
            <w:pPr>
              <w:pStyle w:val="15"/>
              <w:spacing w:line="560" w:lineRule="exact"/>
              <w:contextualSpacing/>
              <w:rPr>
                <w:rFonts w:ascii="黑体" w:hAnsi="黑体" w:eastAsia="黑体"/>
                <w:sz w:val="24"/>
                <w:szCs w:val="24"/>
              </w:rPr>
            </w:pPr>
          </w:p>
        </w:tc>
        <w:tc>
          <w:tcPr>
            <w:tcW w:w="1531" w:type="dxa"/>
            <w:tcBorders>
              <w:top w:val="nil"/>
              <w:left w:val="nil"/>
              <w:bottom w:val="single" w:color="auto" w:sz="8" w:space="0"/>
              <w:right w:val="single" w:color="auto" w:sz="8" w:space="0"/>
            </w:tcBorders>
            <w:shd w:val="clear" w:color="auto" w:fill="auto"/>
            <w:noWrap w:val="0"/>
            <w:vAlign w:val="center"/>
          </w:tcPr>
          <w:p>
            <w:pPr>
              <w:pStyle w:val="15"/>
              <w:spacing w:line="560" w:lineRule="exact"/>
              <w:contextualSpacing/>
              <w:rPr>
                <w:rFonts w:ascii="黑体" w:hAnsi="黑体" w:eastAsia="黑体"/>
                <w:sz w:val="24"/>
                <w:szCs w:val="24"/>
              </w:rPr>
            </w:pPr>
            <w:r>
              <w:rPr>
                <w:rFonts w:hint="eastAsia" w:ascii="黑体" w:hAnsi="黑体" w:eastAsia="黑体"/>
                <w:sz w:val="24"/>
                <w:szCs w:val="24"/>
              </w:rPr>
              <w:t>大型</w:t>
            </w:r>
          </w:p>
        </w:tc>
        <w:tc>
          <w:tcPr>
            <w:tcW w:w="1276" w:type="dxa"/>
            <w:tcBorders>
              <w:top w:val="nil"/>
              <w:left w:val="nil"/>
              <w:bottom w:val="single" w:color="auto" w:sz="8" w:space="0"/>
              <w:right w:val="single" w:color="auto" w:sz="8" w:space="0"/>
            </w:tcBorders>
            <w:shd w:val="clear" w:color="auto" w:fill="auto"/>
            <w:noWrap w:val="0"/>
            <w:vAlign w:val="center"/>
          </w:tcPr>
          <w:p>
            <w:pPr>
              <w:pStyle w:val="15"/>
              <w:spacing w:line="560" w:lineRule="exact"/>
              <w:contextualSpacing/>
              <w:rPr>
                <w:rFonts w:ascii="黑体" w:hAnsi="黑体" w:eastAsia="黑体"/>
                <w:sz w:val="24"/>
                <w:szCs w:val="24"/>
              </w:rPr>
            </w:pPr>
            <w:r>
              <w:rPr>
                <w:rFonts w:hint="eastAsia" w:ascii="黑体" w:hAnsi="黑体" w:eastAsia="黑体"/>
                <w:sz w:val="24"/>
                <w:szCs w:val="24"/>
              </w:rPr>
              <w:t>中型</w:t>
            </w:r>
          </w:p>
        </w:tc>
        <w:tc>
          <w:tcPr>
            <w:tcW w:w="1417" w:type="dxa"/>
            <w:tcBorders>
              <w:top w:val="nil"/>
              <w:left w:val="nil"/>
              <w:bottom w:val="single" w:color="auto" w:sz="8" w:space="0"/>
              <w:right w:val="single" w:color="auto" w:sz="8" w:space="0"/>
            </w:tcBorders>
            <w:shd w:val="clear" w:color="auto" w:fill="auto"/>
            <w:noWrap w:val="0"/>
            <w:vAlign w:val="center"/>
          </w:tcPr>
          <w:p>
            <w:pPr>
              <w:pStyle w:val="15"/>
              <w:spacing w:line="560" w:lineRule="exact"/>
              <w:contextualSpacing/>
              <w:rPr>
                <w:rFonts w:ascii="黑体" w:hAnsi="黑体" w:eastAsia="黑体"/>
                <w:sz w:val="24"/>
                <w:szCs w:val="24"/>
              </w:rPr>
            </w:pPr>
            <w:r>
              <w:rPr>
                <w:rFonts w:hint="eastAsia" w:ascii="黑体" w:hAnsi="黑体" w:eastAsia="黑体"/>
                <w:sz w:val="24"/>
                <w:szCs w:val="24"/>
              </w:rPr>
              <w:t>小型</w:t>
            </w:r>
          </w:p>
        </w:tc>
      </w:tr>
      <w:tr>
        <w:tblPrEx>
          <w:tblCellMar>
            <w:top w:w="0" w:type="dxa"/>
            <w:left w:w="108" w:type="dxa"/>
            <w:bottom w:w="0" w:type="dxa"/>
            <w:right w:w="108" w:type="dxa"/>
          </w:tblCellMar>
        </w:tblPrEx>
        <w:trPr>
          <w:trHeight w:val="567" w:hRule="atLeast"/>
        </w:trPr>
        <w:tc>
          <w:tcPr>
            <w:tcW w:w="2283" w:type="dxa"/>
            <w:tcBorders>
              <w:top w:val="nil"/>
              <w:left w:val="single" w:color="auto" w:sz="8" w:space="0"/>
              <w:bottom w:val="single" w:color="auto" w:sz="8" w:space="0"/>
              <w:right w:val="single" w:color="auto" w:sz="8" w:space="0"/>
            </w:tcBorders>
            <w:shd w:val="clear" w:color="auto" w:fill="auto"/>
            <w:noWrap w:val="0"/>
            <w:vAlign w:val="center"/>
          </w:tcPr>
          <w:p>
            <w:pPr>
              <w:pStyle w:val="15"/>
              <w:widowControl/>
              <w:spacing w:line="560" w:lineRule="exact"/>
              <w:contextualSpacing/>
              <w:rPr>
                <w:rFonts w:ascii="仿宋_GB2312" w:eastAsia="仿宋_GB2312"/>
                <w:sz w:val="24"/>
                <w:szCs w:val="24"/>
              </w:rPr>
            </w:pPr>
            <w:r>
              <w:rPr>
                <w:rFonts w:hint="eastAsia" w:ascii="仿宋_GB2312" w:eastAsia="仿宋_GB2312"/>
                <w:sz w:val="24"/>
                <w:szCs w:val="24"/>
              </w:rPr>
              <w:t>煤（地下开采）</w:t>
            </w:r>
          </w:p>
        </w:tc>
        <w:tc>
          <w:tcPr>
            <w:tcW w:w="2127" w:type="dxa"/>
            <w:tcBorders>
              <w:top w:val="nil"/>
              <w:left w:val="nil"/>
              <w:bottom w:val="single" w:color="auto" w:sz="8" w:space="0"/>
              <w:right w:val="single" w:color="auto" w:sz="8" w:space="0"/>
            </w:tcBorders>
            <w:shd w:val="clear" w:color="auto" w:fill="auto"/>
            <w:noWrap w:val="0"/>
            <w:vAlign w:val="center"/>
          </w:tcPr>
          <w:p>
            <w:pPr>
              <w:pStyle w:val="15"/>
              <w:widowControl/>
              <w:spacing w:line="560" w:lineRule="exact"/>
              <w:contextualSpacing/>
              <w:rPr>
                <w:rFonts w:ascii="仿宋_GB2312" w:eastAsia="仿宋_GB2312"/>
                <w:sz w:val="24"/>
                <w:szCs w:val="24"/>
              </w:rPr>
            </w:pPr>
            <w:r>
              <w:rPr>
                <w:rFonts w:hint="eastAsia" w:ascii="仿宋_GB2312" w:eastAsia="仿宋_GB2312"/>
                <w:sz w:val="24"/>
                <w:szCs w:val="24"/>
              </w:rPr>
              <w:t>原煤万吨</w:t>
            </w:r>
            <w:r>
              <w:rPr>
                <w:rFonts w:ascii="仿宋_GB2312" w:eastAsia="仿宋_GB2312"/>
                <w:sz w:val="24"/>
                <w:szCs w:val="24"/>
              </w:rPr>
              <w:t>/年</w:t>
            </w:r>
          </w:p>
        </w:tc>
        <w:tc>
          <w:tcPr>
            <w:tcW w:w="1531" w:type="dxa"/>
            <w:tcBorders>
              <w:top w:val="nil"/>
              <w:left w:val="nil"/>
              <w:bottom w:val="single" w:color="auto" w:sz="8" w:space="0"/>
              <w:right w:val="single" w:color="auto" w:sz="8" w:space="0"/>
            </w:tcBorders>
            <w:shd w:val="clear" w:color="auto" w:fill="auto"/>
            <w:noWrap w:val="0"/>
            <w:vAlign w:val="center"/>
          </w:tcPr>
          <w:p>
            <w:pPr>
              <w:pStyle w:val="15"/>
              <w:widowControl/>
              <w:spacing w:line="560" w:lineRule="exact"/>
              <w:contextualSpacing/>
              <w:rPr>
                <w:rFonts w:ascii="仿宋_GB2312" w:eastAsia="仿宋_GB2312"/>
                <w:sz w:val="24"/>
                <w:szCs w:val="24"/>
              </w:rPr>
            </w:pPr>
            <w:r>
              <w:rPr>
                <w:rFonts w:ascii="仿宋_GB2312" w:eastAsia="仿宋_GB2312"/>
                <w:sz w:val="24"/>
                <w:szCs w:val="24"/>
              </w:rPr>
              <w:t>300</w:t>
            </w:r>
          </w:p>
        </w:tc>
        <w:tc>
          <w:tcPr>
            <w:tcW w:w="1276" w:type="dxa"/>
            <w:tcBorders>
              <w:top w:val="nil"/>
              <w:left w:val="nil"/>
              <w:bottom w:val="single" w:color="auto" w:sz="8" w:space="0"/>
              <w:right w:val="single" w:color="auto" w:sz="8" w:space="0"/>
            </w:tcBorders>
            <w:shd w:val="clear" w:color="auto" w:fill="auto"/>
            <w:noWrap w:val="0"/>
            <w:vAlign w:val="center"/>
          </w:tcPr>
          <w:p>
            <w:pPr>
              <w:pStyle w:val="15"/>
              <w:widowControl/>
              <w:spacing w:line="560" w:lineRule="exact"/>
              <w:contextualSpacing/>
              <w:rPr>
                <w:rFonts w:ascii="仿宋_GB2312" w:eastAsia="仿宋_GB2312"/>
                <w:sz w:val="24"/>
                <w:szCs w:val="24"/>
              </w:rPr>
            </w:pPr>
            <w:r>
              <w:rPr>
                <w:rFonts w:ascii="仿宋_GB2312" w:eastAsia="仿宋_GB2312"/>
                <w:sz w:val="24"/>
                <w:szCs w:val="24"/>
              </w:rPr>
              <w:t>45</w:t>
            </w:r>
          </w:p>
        </w:tc>
        <w:tc>
          <w:tcPr>
            <w:tcW w:w="1417" w:type="dxa"/>
            <w:tcBorders>
              <w:top w:val="nil"/>
              <w:left w:val="nil"/>
              <w:bottom w:val="single" w:color="auto" w:sz="8" w:space="0"/>
              <w:right w:val="single" w:color="auto" w:sz="8" w:space="0"/>
            </w:tcBorders>
            <w:shd w:val="clear" w:color="auto" w:fill="auto"/>
            <w:noWrap w:val="0"/>
            <w:vAlign w:val="center"/>
          </w:tcPr>
          <w:p>
            <w:pPr>
              <w:pStyle w:val="15"/>
              <w:widowControl/>
              <w:spacing w:line="560" w:lineRule="exact"/>
              <w:contextualSpacing/>
              <w:rPr>
                <w:rFonts w:ascii="仿宋_GB2312" w:eastAsia="仿宋_GB2312"/>
                <w:sz w:val="24"/>
                <w:szCs w:val="24"/>
              </w:rPr>
            </w:pPr>
            <w:r>
              <w:rPr>
                <w:rFonts w:ascii="仿宋_GB2312" w:eastAsia="仿宋_GB2312"/>
                <w:sz w:val="24"/>
                <w:szCs w:val="24"/>
              </w:rPr>
              <w:t>30</w:t>
            </w:r>
          </w:p>
        </w:tc>
      </w:tr>
      <w:tr>
        <w:tblPrEx>
          <w:tblCellMar>
            <w:top w:w="0" w:type="dxa"/>
            <w:left w:w="108" w:type="dxa"/>
            <w:bottom w:w="0" w:type="dxa"/>
            <w:right w:w="108" w:type="dxa"/>
          </w:tblCellMar>
        </w:tblPrEx>
        <w:trPr>
          <w:trHeight w:val="567" w:hRule="atLeast"/>
        </w:trPr>
        <w:tc>
          <w:tcPr>
            <w:tcW w:w="2283" w:type="dxa"/>
            <w:tcBorders>
              <w:top w:val="nil"/>
              <w:left w:val="single" w:color="auto" w:sz="8" w:space="0"/>
              <w:bottom w:val="single" w:color="auto" w:sz="8" w:space="0"/>
              <w:right w:val="single" w:color="auto" w:sz="8" w:space="0"/>
            </w:tcBorders>
            <w:shd w:val="clear" w:color="auto" w:fill="auto"/>
            <w:noWrap w:val="0"/>
            <w:vAlign w:val="center"/>
          </w:tcPr>
          <w:p>
            <w:pPr>
              <w:pStyle w:val="15"/>
              <w:widowControl/>
              <w:spacing w:line="560" w:lineRule="exact"/>
              <w:contextualSpacing/>
              <w:rPr>
                <w:rFonts w:ascii="仿宋_GB2312" w:eastAsia="仿宋_GB2312"/>
                <w:sz w:val="24"/>
                <w:szCs w:val="24"/>
              </w:rPr>
            </w:pPr>
            <w:r>
              <w:rPr>
                <w:rFonts w:hint="eastAsia" w:ascii="仿宋_GB2312" w:eastAsia="仿宋_GB2312"/>
                <w:sz w:val="24"/>
                <w:szCs w:val="24"/>
              </w:rPr>
              <w:t>煤（露天开采）</w:t>
            </w:r>
          </w:p>
        </w:tc>
        <w:tc>
          <w:tcPr>
            <w:tcW w:w="2127" w:type="dxa"/>
            <w:tcBorders>
              <w:top w:val="nil"/>
              <w:left w:val="nil"/>
              <w:bottom w:val="single" w:color="auto" w:sz="8" w:space="0"/>
              <w:right w:val="single" w:color="auto" w:sz="8" w:space="0"/>
            </w:tcBorders>
            <w:shd w:val="clear" w:color="auto" w:fill="auto"/>
            <w:noWrap w:val="0"/>
            <w:vAlign w:val="center"/>
          </w:tcPr>
          <w:p>
            <w:pPr>
              <w:pStyle w:val="15"/>
              <w:widowControl/>
              <w:spacing w:line="560" w:lineRule="exact"/>
              <w:contextualSpacing/>
              <w:rPr>
                <w:rFonts w:ascii="仿宋_GB2312" w:eastAsia="仿宋_GB2312"/>
                <w:sz w:val="24"/>
                <w:szCs w:val="24"/>
              </w:rPr>
            </w:pPr>
            <w:r>
              <w:rPr>
                <w:rFonts w:hint="eastAsia" w:ascii="仿宋_GB2312" w:eastAsia="仿宋_GB2312"/>
                <w:sz w:val="24"/>
                <w:szCs w:val="24"/>
              </w:rPr>
              <w:t>原煤万吨</w:t>
            </w:r>
            <w:r>
              <w:rPr>
                <w:rFonts w:ascii="仿宋_GB2312" w:eastAsia="仿宋_GB2312"/>
                <w:sz w:val="24"/>
                <w:szCs w:val="24"/>
              </w:rPr>
              <w:t>/年</w:t>
            </w:r>
          </w:p>
        </w:tc>
        <w:tc>
          <w:tcPr>
            <w:tcW w:w="1531" w:type="dxa"/>
            <w:tcBorders>
              <w:top w:val="nil"/>
              <w:left w:val="nil"/>
              <w:bottom w:val="single" w:color="auto" w:sz="8" w:space="0"/>
              <w:right w:val="single" w:color="auto" w:sz="8" w:space="0"/>
            </w:tcBorders>
            <w:shd w:val="clear" w:color="auto" w:fill="auto"/>
            <w:noWrap w:val="0"/>
            <w:vAlign w:val="center"/>
          </w:tcPr>
          <w:p>
            <w:pPr>
              <w:pStyle w:val="15"/>
              <w:widowControl/>
              <w:spacing w:line="560" w:lineRule="exact"/>
              <w:contextualSpacing/>
              <w:rPr>
                <w:rFonts w:ascii="仿宋_GB2312" w:eastAsia="仿宋_GB2312"/>
                <w:sz w:val="24"/>
                <w:szCs w:val="24"/>
              </w:rPr>
            </w:pPr>
            <w:r>
              <w:rPr>
                <w:rFonts w:ascii="仿宋_GB2312" w:eastAsia="仿宋_GB2312"/>
                <w:sz w:val="24"/>
                <w:szCs w:val="24"/>
              </w:rPr>
              <w:t>400</w:t>
            </w:r>
          </w:p>
        </w:tc>
        <w:tc>
          <w:tcPr>
            <w:tcW w:w="1276" w:type="dxa"/>
            <w:tcBorders>
              <w:top w:val="nil"/>
              <w:left w:val="nil"/>
              <w:bottom w:val="single" w:color="auto" w:sz="8" w:space="0"/>
              <w:right w:val="single" w:color="auto" w:sz="8" w:space="0"/>
            </w:tcBorders>
            <w:shd w:val="clear" w:color="auto" w:fill="auto"/>
            <w:noWrap w:val="0"/>
            <w:vAlign w:val="center"/>
          </w:tcPr>
          <w:p>
            <w:pPr>
              <w:pStyle w:val="15"/>
              <w:widowControl/>
              <w:spacing w:line="560" w:lineRule="exact"/>
              <w:contextualSpacing/>
              <w:rPr>
                <w:rFonts w:ascii="仿宋_GB2312" w:eastAsia="仿宋_GB2312"/>
                <w:sz w:val="24"/>
                <w:szCs w:val="24"/>
              </w:rPr>
            </w:pPr>
            <w:r>
              <w:rPr>
                <w:rFonts w:ascii="仿宋_GB2312" w:eastAsia="仿宋_GB2312"/>
                <w:sz w:val="24"/>
                <w:szCs w:val="24"/>
              </w:rPr>
              <w:t>150</w:t>
            </w:r>
          </w:p>
        </w:tc>
        <w:tc>
          <w:tcPr>
            <w:tcW w:w="1417" w:type="dxa"/>
            <w:tcBorders>
              <w:top w:val="nil"/>
              <w:left w:val="nil"/>
              <w:bottom w:val="single" w:color="auto" w:sz="8" w:space="0"/>
              <w:right w:val="single" w:color="auto" w:sz="8" w:space="0"/>
            </w:tcBorders>
            <w:shd w:val="clear" w:color="auto" w:fill="auto"/>
            <w:noWrap w:val="0"/>
            <w:vAlign w:val="center"/>
          </w:tcPr>
          <w:p>
            <w:pPr>
              <w:pStyle w:val="15"/>
              <w:widowControl/>
              <w:spacing w:line="560" w:lineRule="exact"/>
              <w:contextualSpacing/>
              <w:rPr>
                <w:rFonts w:ascii="仿宋_GB2312" w:eastAsia="仿宋_GB2312"/>
                <w:sz w:val="24"/>
                <w:szCs w:val="24"/>
              </w:rPr>
            </w:pPr>
            <w:r>
              <w:rPr>
                <w:rFonts w:ascii="仿宋_GB2312" w:eastAsia="仿宋_GB2312"/>
                <w:sz w:val="24"/>
                <w:szCs w:val="24"/>
              </w:rPr>
              <w:t>50</w:t>
            </w:r>
          </w:p>
        </w:tc>
      </w:tr>
      <w:tr>
        <w:tblPrEx>
          <w:tblCellMar>
            <w:top w:w="0" w:type="dxa"/>
            <w:left w:w="108" w:type="dxa"/>
            <w:bottom w:w="0" w:type="dxa"/>
            <w:right w:w="108" w:type="dxa"/>
          </w:tblCellMar>
        </w:tblPrEx>
        <w:trPr>
          <w:trHeight w:val="567" w:hRule="atLeast"/>
        </w:trPr>
        <w:tc>
          <w:tcPr>
            <w:tcW w:w="2283" w:type="dxa"/>
            <w:tcBorders>
              <w:top w:val="nil"/>
              <w:left w:val="single" w:color="auto" w:sz="8" w:space="0"/>
              <w:bottom w:val="single" w:color="auto" w:sz="8" w:space="0"/>
              <w:right w:val="single" w:color="auto" w:sz="8" w:space="0"/>
            </w:tcBorders>
            <w:shd w:val="clear" w:color="auto" w:fill="auto"/>
            <w:noWrap w:val="0"/>
            <w:vAlign w:val="center"/>
          </w:tcPr>
          <w:p>
            <w:pPr>
              <w:pStyle w:val="15"/>
              <w:widowControl/>
              <w:spacing w:line="560" w:lineRule="exact"/>
              <w:contextualSpacing/>
              <w:rPr>
                <w:rFonts w:ascii="仿宋_GB2312" w:eastAsia="仿宋_GB2312"/>
                <w:sz w:val="24"/>
                <w:szCs w:val="24"/>
              </w:rPr>
            </w:pPr>
            <w:r>
              <w:rPr>
                <w:rFonts w:hint="eastAsia" w:ascii="仿宋_GB2312" w:eastAsia="仿宋_GB2312"/>
                <w:sz w:val="24"/>
                <w:szCs w:val="24"/>
              </w:rPr>
              <w:t>煤层气</w:t>
            </w:r>
          </w:p>
        </w:tc>
        <w:tc>
          <w:tcPr>
            <w:tcW w:w="2127" w:type="dxa"/>
            <w:tcBorders>
              <w:top w:val="nil"/>
              <w:left w:val="nil"/>
              <w:bottom w:val="single" w:color="auto" w:sz="8" w:space="0"/>
              <w:right w:val="single" w:color="auto" w:sz="8" w:space="0"/>
            </w:tcBorders>
            <w:shd w:val="clear" w:color="auto" w:fill="auto"/>
            <w:noWrap w:val="0"/>
            <w:vAlign w:val="center"/>
          </w:tcPr>
          <w:p>
            <w:pPr>
              <w:pStyle w:val="15"/>
              <w:widowControl/>
              <w:spacing w:line="560" w:lineRule="exact"/>
              <w:contextualSpacing/>
              <w:rPr>
                <w:rFonts w:ascii="仿宋_GB2312" w:eastAsia="仿宋_GB2312"/>
                <w:sz w:val="24"/>
                <w:szCs w:val="24"/>
              </w:rPr>
            </w:pPr>
            <w:r>
              <w:rPr>
                <w:rFonts w:hint="eastAsia" w:ascii="仿宋_GB2312" w:eastAsia="仿宋_GB2312"/>
                <w:sz w:val="24"/>
                <w:szCs w:val="24"/>
              </w:rPr>
              <w:t>亿立方米</w:t>
            </w:r>
          </w:p>
        </w:tc>
        <w:tc>
          <w:tcPr>
            <w:tcW w:w="1531" w:type="dxa"/>
            <w:tcBorders>
              <w:top w:val="nil"/>
              <w:left w:val="nil"/>
              <w:bottom w:val="single" w:color="auto" w:sz="8" w:space="0"/>
              <w:right w:val="single" w:color="auto" w:sz="8" w:space="0"/>
            </w:tcBorders>
            <w:shd w:val="clear" w:color="auto" w:fill="auto"/>
            <w:noWrap w:val="0"/>
            <w:vAlign w:val="center"/>
          </w:tcPr>
          <w:p>
            <w:pPr>
              <w:pStyle w:val="15"/>
              <w:widowControl/>
              <w:spacing w:line="560" w:lineRule="exact"/>
              <w:contextualSpacing/>
              <w:rPr>
                <w:rFonts w:ascii="仿宋_GB2312" w:eastAsia="仿宋_GB2312"/>
                <w:sz w:val="24"/>
                <w:szCs w:val="24"/>
              </w:rPr>
            </w:pPr>
            <w:r>
              <w:rPr>
                <w:rFonts w:ascii="仿宋_GB2312" w:eastAsia="仿宋_GB2312"/>
                <w:sz w:val="24"/>
                <w:szCs w:val="24"/>
              </w:rPr>
              <w:t>5</w:t>
            </w:r>
          </w:p>
        </w:tc>
        <w:tc>
          <w:tcPr>
            <w:tcW w:w="1276" w:type="dxa"/>
            <w:tcBorders>
              <w:top w:val="nil"/>
              <w:left w:val="nil"/>
              <w:bottom w:val="single" w:color="auto" w:sz="8" w:space="0"/>
              <w:right w:val="single" w:color="auto" w:sz="8" w:space="0"/>
            </w:tcBorders>
            <w:shd w:val="clear" w:color="auto" w:fill="auto"/>
            <w:noWrap w:val="0"/>
            <w:vAlign w:val="center"/>
          </w:tcPr>
          <w:p>
            <w:pPr>
              <w:pStyle w:val="15"/>
              <w:widowControl/>
              <w:spacing w:line="560" w:lineRule="exact"/>
              <w:contextualSpacing/>
              <w:rPr>
                <w:rFonts w:ascii="仿宋_GB2312" w:eastAsia="仿宋_GB2312"/>
                <w:sz w:val="24"/>
                <w:szCs w:val="24"/>
              </w:rPr>
            </w:pPr>
            <w:r>
              <w:rPr>
                <w:rFonts w:ascii="仿宋_GB2312" w:eastAsia="仿宋_GB2312"/>
                <w:sz w:val="24"/>
                <w:szCs w:val="24"/>
              </w:rPr>
              <w:t>1</w:t>
            </w:r>
          </w:p>
        </w:tc>
        <w:tc>
          <w:tcPr>
            <w:tcW w:w="1417" w:type="dxa"/>
            <w:tcBorders>
              <w:top w:val="nil"/>
              <w:left w:val="nil"/>
              <w:bottom w:val="single" w:color="auto" w:sz="8" w:space="0"/>
              <w:right w:val="single" w:color="auto" w:sz="8" w:space="0"/>
            </w:tcBorders>
            <w:shd w:val="clear" w:color="auto" w:fill="auto"/>
            <w:noWrap w:val="0"/>
            <w:vAlign w:val="center"/>
          </w:tcPr>
          <w:p>
            <w:pPr>
              <w:pStyle w:val="15"/>
              <w:widowControl/>
              <w:spacing w:line="560" w:lineRule="exact"/>
              <w:contextualSpacing/>
              <w:rPr>
                <w:rFonts w:ascii="仿宋_GB2312" w:eastAsia="仿宋_GB2312"/>
                <w:sz w:val="24"/>
                <w:szCs w:val="24"/>
              </w:rPr>
            </w:pPr>
          </w:p>
        </w:tc>
      </w:tr>
      <w:tr>
        <w:tblPrEx>
          <w:tblCellMar>
            <w:top w:w="0" w:type="dxa"/>
            <w:left w:w="108" w:type="dxa"/>
            <w:bottom w:w="0" w:type="dxa"/>
            <w:right w:w="108" w:type="dxa"/>
          </w:tblCellMar>
        </w:tblPrEx>
        <w:trPr>
          <w:trHeight w:val="567" w:hRule="atLeast"/>
        </w:trPr>
        <w:tc>
          <w:tcPr>
            <w:tcW w:w="2283" w:type="dxa"/>
            <w:tcBorders>
              <w:top w:val="nil"/>
              <w:left w:val="single" w:color="auto" w:sz="8" w:space="0"/>
              <w:bottom w:val="single" w:color="auto" w:sz="8" w:space="0"/>
              <w:right w:val="single" w:color="auto" w:sz="8" w:space="0"/>
            </w:tcBorders>
            <w:shd w:val="clear" w:color="auto" w:fill="auto"/>
            <w:noWrap w:val="0"/>
            <w:vAlign w:val="center"/>
          </w:tcPr>
          <w:p>
            <w:pPr>
              <w:pStyle w:val="15"/>
              <w:widowControl/>
              <w:spacing w:line="560" w:lineRule="exact"/>
              <w:contextualSpacing/>
              <w:rPr>
                <w:rFonts w:ascii="仿宋_GB2312" w:eastAsia="仿宋_GB2312"/>
                <w:sz w:val="24"/>
                <w:szCs w:val="24"/>
              </w:rPr>
            </w:pPr>
            <w:r>
              <w:rPr>
                <w:rFonts w:hint="eastAsia" w:ascii="仿宋_GB2312" w:eastAsia="仿宋_GB2312"/>
                <w:sz w:val="24"/>
                <w:szCs w:val="24"/>
              </w:rPr>
              <w:t>地热（热水）</w:t>
            </w:r>
          </w:p>
        </w:tc>
        <w:tc>
          <w:tcPr>
            <w:tcW w:w="2127" w:type="dxa"/>
            <w:tcBorders>
              <w:top w:val="nil"/>
              <w:left w:val="nil"/>
              <w:bottom w:val="single" w:color="auto" w:sz="8" w:space="0"/>
              <w:right w:val="single" w:color="auto" w:sz="8" w:space="0"/>
            </w:tcBorders>
            <w:shd w:val="clear" w:color="auto" w:fill="auto"/>
            <w:noWrap w:val="0"/>
            <w:vAlign w:val="center"/>
          </w:tcPr>
          <w:p>
            <w:pPr>
              <w:pStyle w:val="15"/>
              <w:widowControl/>
              <w:spacing w:line="560" w:lineRule="exact"/>
              <w:contextualSpacing/>
              <w:rPr>
                <w:rFonts w:ascii="仿宋_GB2312" w:eastAsia="仿宋_GB2312"/>
                <w:sz w:val="24"/>
                <w:szCs w:val="24"/>
              </w:rPr>
            </w:pPr>
            <w:r>
              <w:rPr>
                <w:rFonts w:hint="eastAsia" w:ascii="仿宋_GB2312" w:eastAsia="仿宋_GB2312"/>
                <w:sz w:val="24"/>
                <w:szCs w:val="24"/>
              </w:rPr>
              <w:t>万立方米</w:t>
            </w:r>
            <w:r>
              <w:rPr>
                <w:rFonts w:ascii="仿宋_GB2312" w:eastAsia="仿宋_GB2312"/>
                <w:sz w:val="24"/>
                <w:szCs w:val="24"/>
              </w:rPr>
              <w:t>/年</w:t>
            </w:r>
          </w:p>
        </w:tc>
        <w:tc>
          <w:tcPr>
            <w:tcW w:w="1531" w:type="dxa"/>
            <w:tcBorders>
              <w:top w:val="nil"/>
              <w:left w:val="nil"/>
              <w:bottom w:val="single" w:color="auto" w:sz="8" w:space="0"/>
              <w:right w:val="single" w:color="auto" w:sz="8" w:space="0"/>
            </w:tcBorders>
            <w:shd w:val="clear" w:color="auto" w:fill="auto"/>
            <w:noWrap w:val="0"/>
            <w:vAlign w:val="center"/>
          </w:tcPr>
          <w:p>
            <w:pPr>
              <w:pStyle w:val="15"/>
              <w:widowControl/>
              <w:spacing w:line="560" w:lineRule="exact"/>
              <w:contextualSpacing/>
              <w:rPr>
                <w:rFonts w:ascii="仿宋_GB2312" w:eastAsia="仿宋_GB2312"/>
                <w:sz w:val="24"/>
                <w:szCs w:val="24"/>
              </w:rPr>
            </w:pPr>
            <w:r>
              <w:rPr>
                <w:rFonts w:ascii="仿宋_GB2312" w:eastAsia="仿宋_GB2312"/>
                <w:sz w:val="24"/>
                <w:szCs w:val="24"/>
              </w:rPr>
              <w:t>20</w:t>
            </w:r>
          </w:p>
        </w:tc>
        <w:tc>
          <w:tcPr>
            <w:tcW w:w="1276" w:type="dxa"/>
            <w:tcBorders>
              <w:top w:val="nil"/>
              <w:left w:val="nil"/>
              <w:bottom w:val="single" w:color="auto" w:sz="8" w:space="0"/>
              <w:right w:val="single" w:color="auto" w:sz="8" w:space="0"/>
            </w:tcBorders>
            <w:shd w:val="clear" w:color="auto" w:fill="auto"/>
            <w:noWrap w:val="0"/>
            <w:vAlign w:val="center"/>
          </w:tcPr>
          <w:p>
            <w:pPr>
              <w:pStyle w:val="15"/>
              <w:widowControl/>
              <w:spacing w:line="560" w:lineRule="exact"/>
              <w:contextualSpacing/>
              <w:rPr>
                <w:rFonts w:ascii="仿宋_GB2312" w:eastAsia="仿宋_GB2312"/>
                <w:sz w:val="24"/>
                <w:szCs w:val="24"/>
              </w:rPr>
            </w:pPr>
            <w:r>
              <w:rPr>
                <w:rFonts w:ascii="仿宋_GB2312" w:eastAsia="仿宋_GB2312"/>
                <w:sz w:val="24"/>
                <w:szCs w:val="24"/>
              </w:rPr>
              <w:t>10</w:t>
            </w:r>
          </w:p>
        </w:tc>
        <w:tc>
          <w:tcPr>
            <w:tcW w:w="1417" w:type="dxa"/>
            <w:tcBorders>
              <w:top w:val="nil"/>
              <w:left w:val="nil"/>
              <w:bottom w:val="single" w:color="auto" w:sz="8" w:space="0"/>
              <w:right w:val="single" w:color="auto" w:sz="8" w:space="0"/>
            </w:tcBorders>
            <w:shd w:val="clear" w:color="auto" w:fill="auto"/>
            <w:noWrap w:val="0"/>
            <w:vAlign w:val="center"/>
          </w:tcPr>
          <w:p>
            <w:pPr>
              <w:pStyle w:val="15"/>
              <w:widowControl/>
              <w:spacing w:line="560" w:lineRule="exact"/>
              <w:contextualSpacing/>
              <w:rPr>
                <w:rFonts w:ascii="仿宋_GB2312" w:eastAsia="仿宋_GB2312"/>
                <w:sz w:val="24"/>
                <w:szCs w:val="24"/>
              </w:rPr>
            </w:pPr>
            <w:r>
              <w:rPr>
                <w:rFonts w:ascii="仿宋_GB2312" w:eastAsia="仿宋_GB2312"/>
                <w:sz w:val="24"/>
                <w:szCs w:val="24"/>
              </w:rPr>
              <w:t>1</w:t>
            </w:r>
          </w:p>
        </w:tc>
      </w:tr>
      <w:tr>
        <w:trPr>
          <w:trHeight w:val="567" w:hRule="atLeast"/>
        </w:trPr>
        <w:tc>
          <w:tcPr>
            <w:tcW w:w="2283" w:type="dxa"/>
            <w:tcBorders>
              <w:top w:val="nil"/>
              <w:left w:val="single" w:color="auto" w:sz="8" w:space="0"/>
              <w:bottom w:val="single" w:color="auto" w:sz="8" w:space="0"/>
              <w:right w:val="single" w:color="auto" w:sz="8" w:space="0"/>
            </w:tcBorders>
            <w:shd w:val="clear" w:color="auto" w:fill="auto"/>
            <w:noWrap w:val="0"/>
            <w:vAlign w:val="center"/>
          </w:tcPr>
          <w:p>
            <w:pPr>
              <w:pStyle w:val="15"/>
              <w:widowControl/>
              <w:spacing w:line="560" w:lineRule="exact"/>
              <w:contextualSpacing/>
              <w:rPr>
                <w:rFonts w:ascii="仿宋_GB2312" w:eastAsia="仿宋_GB2312"/>
                <w:sz w:val="24"/>
                <w:szCs w:val="24"/>
              </w:rPr>
            </w:pPr>
            <w:r>
              <w:rPr>
                <w:rFonts w:hint="eastAsia" w:ascii="仿宋_GB2312" w:eastAsia="仿宋_GB2312"/>
                <w:sz w:val="24"/>
                <w:szCs w:val="24"/>
              </w:rPr>
              <w:t>铁矿（露天开采）</w:t>
            </w:r>
          </w:p>
        </w:tc>
        <w:tc>
          <w:tcPr>
            <w:tcW w:w="2127" w:type="dxa"/>
            <w:tcBorders>
              <w:top w:val="nil"/>
              <w:left w:val="nil"/>
              <w:bottom w:val="single" w:color="auto" w:sz="8" w:space="0"/>
              <w:right w:val="single" w:color="auto" w:sz="8" w:space="0"/>
            </w:tcBorders>
            <w:shd w:val="clear" w:color="auto" w:fill="auto"/>
            <w:noWrap w:val="0"/>
            <w:vAlign w:val="center"/>
          </w:tcPr>
          <w:p>
            <w:pPr>
              <w:pStyle w:val="15"/>
              <w:widowControl/>
              <w:spacing w:line="560" w:lineRule="exact"/>
              <w:contextualSpacing/>
              <w:rPr>
                <w:rFonts w:ascii="仿宋_GB2312" w:eastAsia="仿宋_GB2312"/>
                <w:sz w:val="24"/>
                <w:szCs w:val="24"/>
              </w:rPr>
            </w:pPr>
            <w:r>
              <w:rPr>
                <w:rFonts w:hint="eastAsia" w:ascii="仿宋_GB2312" w:eastAsia="仿宋_GB2312"/>
                <w:sz w:val="24"/>
                <w:szCs w:val="24"/>
              </w:rPr>
              <w:t>矿石万吨</w:t>
            </w:r>
            <w:r>
              <w:rPr>
                <w:rFonts w:ascii="仿宋_GB2312" w:eastAsia="仿宋_GB2312"/>
                <w:sz w:val="24"/>
                <w:szCs w:val="24"/>
              </w:rPr>
              <w:t>/年</w:t>
            </w:r>
          </w:p>
        </w:tc>
        <w:tc>
          <w:tcPr>
            <w:tcW w:w="1531" w:type="dxa"/>
            <w:tcBorders>
              <w:top w:val="nil"/>
              <w:left w:val="nil"/>
              <w:bottom w:val="single" w:color="auto" w:sz="8" w:space="0"/>
              <w:right w:val="single" w:color="auto" w:sz="8" w:space="0"/>
            </w:tcBorders>
            <w:shd w:val="clear" w:color="auto" w:fill="auto"/>
            <w:noWrap w:val="0"/>
            <w:vAlign w:val="center"/>
          </w:tcPr>
          <w:p>
            <w:pPr>
              <w:pStyle w:val="15"/>
              <w:widowControl/>
              <w:spacing w:line="560" w:lineRule="exact"/>
              <w:contextualSpacing/>
              <w:rPr>
                <w:rFonts w:ascii="仿宋_GB2312" w:eastAsia="仿宋_GB2312"/>
                <w:sz w:val="24"/>
                <w:szCs w:val="24"/>
              </w:rPr>
            </w:pPr>
            <w:r>
              <w:rPr>
                <w:rFonts w:ascii="仿宋_GB2312" w:eastAsia="仿宋_GB2312"/>
                <w:sz w:val="24"/>
                <w:szCs w:val="24"/>
              </w:rPr>
              <w:t>200</w:t>
            </w:r>
          </w:p>
        </w:tc>
        <w:tc>
          <w:tcPr>
            <w:tcW w:w="1276" w:type="dxa"/>
            <w:tcBorders>
              <w:top w:val="nil"/>
              <w:left w:val="nil"/>
              <w:bottom w:val="single" w:color="auto" w:sz="8" w:space="0"/>
              <w:right w:val="single" w:color="auto" w:sz="8" w:space="0"/>
            </w:tcBorders>
            <w:shd w:val="clear" w:color="auto" w:fill="auto"/>
            <w:noWrap w:val="0"/>
            <w:vAlign w:val="center"/>
          </w:tcPr>
          <w:p>
            <w:pPr>
              <w:pStyle w:val="15"/>
              <w:widowControl/>
              <w:spacing w:line="560" w:lineRule="exact"/>
              <w:contextualSpacing/>
              <w:rPr>
                <w:rFonts w:ascii="仿宋_GB2312" w:eastAsia="仿宋_GB2312"/>
                <w:sz w:val="24"/>
                <w:szCs w:val="24"/>
              </w:rPr>
            </w:pPr>
            <w:r>
              <w:rPr>
                <w:rFonts w:ascii="仿宋_GB2312" w:eastAsia="仿宋_GB2312"/>
                <w:sz w:val="24"/>
                <w:szCs w:val="24"/>
              </w:rPr>
              <w:t>60</w:t>
            </w:r>
          </w:p>
        </w:tc>
        <w:tc>
          <w:tcPr>
            <w:tcW w:w="1417" w:type="dxa"/>
            <w:tcBorders>
              <w:top w:val="nil"/>
              <w:left w:val="nil"/>
              <w:bottom w:val="single" w:color="auto" w:sz="8" w:space="0"/>
              <w:right w:val="single" w:color="auto" w:sz="8" w:space="0"/>
            </w:tcBorders>
            <w:shd w:val="clear" w:color="auto" w:fill="auto"/>
            <w:noWrap w:val="0"/>
            <w:vAlign w:val="center"/>
          </w:tcPr>
          <w:p>
            <w:pPr>
              <w:pStyle w:val="15"/>
              <w:widowControl/>
              <w:spacing w:line="560" w:lineRule="exact"/>
              <w:contextualSpacing/>
              <w:rPr>
                <w:rFonts w:ascii="仿宋_GB2312" w:eastAsia="仿宋_GB2312"/>
                <w:sz w:val="24"/>
                <w:szCs w:val="24"/>
              </w:rPr>
            </w:pPr>
            <w:r>
              <w:rPr>
                <w:rFonts w:ascii="仿宋_GB2312" w:eastAsia="仿宋_GB2312"/>
                <w:sz w:val="24"/>
                <w:szCs w:val="24"/>
              </w:rPr>
              <w:t>30</w:t>
            </w:r>
          </w:p>
        </w:tc>
      </w:tr>
      <w:tr>
        <w:tblPrEx>
          <w:tblCellMar>
            <w:top w:w="0" w:type="dxa"/>
            <w:left w:w="108" w:type="dxa"/>
            <w:bottom w:w="0" w:type="dxa"/>
            <w:right w:w="108" w:type="dxa"/>
          </w:tblCellMar>
        </w:tblPrEx>
        <w:trPr>
          <w:trHeight w:val="567" w:hRule="atLeast"/>
        </w:trPr>
        <w:tc>
          <w:tcPr>
            <w:tcW w:w="2283" w:type="dxa"/>
            <w:tcBorders>
              <w:top w:val="nil"/>
              <w:left w:val="single" w:color="auto" w:sz="8" w:space="0"/>
              <w:bottom w:val="single" w:color="auto" w:sz="8" w:space="0"/>
              <w:right w:val="single" w:color="auto" w:sz="8" w:space="0"/>
            </w:tcBorders>
            <w:shd w:val="clear" w:color="auto" w:fill="auto"/>
            <w:noWrap w:val="0"/>
            <w:vAlign w:val="center"/>
          </w:tcPr>
          <w:p>
            <w:pPr>
              <w:pStyle w:val="15"/>
              <w:widowControl/>
              <w:spacing w:line="560" w:lineRule="exact"/>
              <w:contextualSpacing/>
              <w:rPr>
                <w:rFonts w:ascii="仿宋_GB2312" w:eastAsia="仿宋_GB2312"/>
                <w:sz w:val="24"/>
                <w:szCs w:val="24"/>
              </w:rPr>
            </w:pPr>
            <w:r>
              <w:rPr>
                <w:rFonts w:hint="eastAsia" w:ascii="仿宋_GB2312" w:eastAsia="仿宋_GB2312"/>
                <w:sz w:val="24"/>
                <w:szCs w:val="24"/>
              </w:rPr>
              <w:t>铁矿（地下开采）</w:t>
            </w:r>
          </w:p>
        </w:tc>
        <w:tc>
          <w:tcPr>
            <w:tcW w:w="2127" w:type="dxa"/>
            <w:tcBorders>
              <w:top w:val="nil"/>
              <w:left w:val="nil"/>
              <w:bottom w:val="single" w:color="auto" w:sz="8" w:space="0"/>
              <w:right w:val="single" w:color="auto" w:sz="8" w:space="0"/>
            </w:tcBorders>
            <w:shd w:val="clear" w:color="auto" w:fill="auto"/>
            <w:noWrap w:val="0"/>
            <w:vAlign w:val="center"/>
          </w:tcPr>
          <w:p>
            <w:pPr>
              <w:pStyle w:val="15"/>
              <w:widowControl/>
              <w:spacing w:line="560" w:lineRule="exact"/>
              <w:contextualSpacing/>
              <w:rPr>
                <w:rFonts w:ascii="仿宋_GB2312" w:eastAsia="仿宋_GB2312"/>
                <w:sz w:val="24"/>
                <w:szCs w:val="24"/>
              </w:rPr>
            </w:pPr>
            <w:r>
              <w:rPr>
                <w:rFonts w:hint="eastAsia" w:ascii="仿宋_GB2312" w:eastAsia="仿宋_GB2312"/>
                <w:sz w:val="24"/>
                <w:szCs w:val="24"/>
              </w:rPr>
              <w:t>矿石万吨</w:t>
            </w:r>
            <w:r>
              <w:rPr>
                <w:rFonts w:ascii="仿宋_GB2312" w:eastAsia="仿宋_GB2312"/>
                <w:sz w:val="24"/>
                <w:szCs w:val="24"/>
              </w:rPr>
              <w:t>/年</w:t>
            </w:r>
          </w:p>
        </w:tc>
        <w:tc>
          <w:tcPr>
            <w:tcW w:w="1531" w:type="dxa"/>
            <w:tcBorders>
              <w:top w:val="nil"/>
              <w:left w:val="nil"/>
              <w:bottom w:val="single" w:color="auto" w:sz="8" w:space="0"/>
              <w:right w:val="single" w:color="auto" w:sz="8" w:space="0"/>
            </w:tcBorders>
            <w:shd w:val="clear" w:color="auto" w:fill="auto"/>
            <w:noWrap w:val="0"/>
            <w:vAlign w:val="center"/>
          </w:tcPr>
          <w:p>
            <w:pPr>
              <w:pStyle w:val="15"/>
              <w:widowControl/>
              <w:spacing w:line="560" w:lineRule="exact"/>
              <w:contextualSpacing/>
              <w:rPr>
                <w:rFonts w:ascii="仿宋_GB2312" w:eastAsia="仿宋_GB2312"/>
                <w:sz w:val="24"/>
                <w:szCs w:val="24"/>
              </w:rPr>
            </w:pPr>
            <w:r>
              <w:rPr>
                <w:rFonts w:ascii="仿宋_GB2312" w:eastAsia="仿宋_GB2312"/>
                <w:sz w:val="24"/>
                <w:szCs w:val="24"/>
              </w:rPr>
              <w:t>100</w:t>
            </w:r>
          </w:p>
        </w:tc>
        <w:tc>
          <w:tcPr>
            <w:tcW w:w="1276" w:type="dxa"/>
            <w:tcBorders>
              <w:top w:val="nil"/>
              <w:left w:val="nil"/>
              <w:bottom w:val="single" w:color="auto" w:sz="8" w:space="0"/>
              <w:right w:val="single" w:color="auto" w:sz="8" w:space="0"/>
            </w:tcBorders>
            <w:shd w:val="clear" w:color="auto" w:fill="auto"/>
            <w:noWrap w:val="0"/>
            <w:vAlign w:val="center"/>
          </w:tcPr>
          <w:p>
            <w:pPr>
              <w:pStyle w:val="15"/>
              <w:widowControl/>
              <w:spacing w:line="560" w:lineRule="exact"/>
              <w:contextualSpacing/>
              <w:rPr>
                <w:rFonts w:ascii="仿宋_GB2312" w:eastAsia="仿宋_GB2312"/>
                <w:sz w:val="24"/>
                <w:szCs w:val="24"/>
              </w:rPr>
            </w:pPr>
            <w:r>
              <w:rPr>
                <w:rFonts w:ascii="仿宋_GB2312" w:eastAsia="仿宋_GB2312"/>
                <w:sz w:val="24"/>
                <w:szCs w:val="24"/>
              </w:rPr>
              <w:t>30</w:t>
            </w:r>
          </w:p>
        </w:tc>
        <w:tc>
          <w:tcPr>
            <w:tcW w:w="1417" w:type="dxa"/>
            <w:tcBorders>
              <w:top w:val="nil"/>
              <w:left w:val="nil"/>
              <w:bottom w:val="single" w:color="auto" w:sz="8" w:space="0"/>
              <w:right w:val="single" w:color="auto" w:sz="8" w:space="0"/>
            </w:tcBorders>
            <w:shd w:val="clear" w:color="auto" w:fill="auto"/>
            <w:noWrap w:val="0"/>
            <w:vAlign w:val="center"/>
          </w:tcPr>
          <w:p>
            <w:pPr>
              <w:pStyle w:val="15"/>
              <w:widowControl/>
              <w:spacing w:line="560" w:lineRule="exact"/>
              <w:contextualSpacing/>
              <w:rPr>
                <w:rFonts w:ascii="仿宋_GB2312" w:eastAsia="仿宋_GB2312"/>
                <w:sz w:val="24"/>
                <w:szCs w:val="24"/>
              </w:rPr>
            </w:pPr>
            <w:r>
              <w:rPr>
                <w:rFonts w:ascii="仿宋_GB2312" w:eastAsia="仿宋_GB2312"/>
                <w:sz w:val="24"/>
                <w:szCs w:val="24"/>
              </w:rPr>
              <w:t>10</w:t>
            </w:r>
          </w:p>
        </w:tc>
      </w:tr>
      <w:tr>
        <w:tblPrEx>
          <w:tblCellMar>
            <w:top w:w="0" w:type="dxa"/>
            <w:left w:w="108" w:type="dxa"/>
            <w:bottom w:w="0" w:type="dxa"/>
            <w:right w:w="108" w:type="dxa"/>
          </w:tblCellMar>
        </w:tblPrEx>
        <w:trPr>
          <w:trHeight w:val="567" w:hRule="atLeast"/>
        </w:trPr>
        <w:tc>
          <w:tcPr>
            <w:tcW w:w="2283" w:type="dxa"/>
            <w:tcBorders>
              <w:top w:val="nil"/>
              <w:left w:val="single" w:color="auto" w:sz="8" w:space="0"/>
              <w:bottom w:val="single" w:color="auto" w:sz="8" w:space="0"/>
              <w:right w:val="single" w:color="auto" w:sz="8" w:space="0"/>
            </w:tcBorders>
            <w:shd w:val="clear" w:color="auto" w:fill="auto"/>
            <w:noWrap w:val="0"/>
            <w:vAlign w:val="center"/>
          </w:tcPr>
          <w:p>
            <w:pPr>
              <w:pStyle w:val="15"/>
              <w:widowControl/>
              <w:spacing w:line="560" w:lineRule="exact"/>
              <w:contextualSpacing/>
              <w:rPr>
                <w:rFonts w:ascii="仿宋_GB2312" w:eastAsia="仿宋_GB2312"/>
                <w:sz w:val="24"/>
                <w:szCs w:val="24"/>
              </w:rPr>
            </w:pPr>
            <w:r>
              <w:rPr>
                <w:rFonts w:hint="eastAsia" w:ascii="仿宋_GB2312" w:eastAsia="仿宋_GB2312"/>
                <w:sz w:val="24"/>
                <w:szCs w:val="24"/>
              </w:rPr>
              <w:t>铅</w:t>
            </w:r>
          </w:p>
        </w:tc>
        <w:tc>
          <w:tcPr>
            <w:tcW w:w="2127" w:type="dxa"/>
            <w:tcBorders>
              <w:top w:val="nil"/>
              <w:left w:val="nil"/>
              <w:bottom w:val="single" w:color="auto" w:sz="8" w:space="0"/>
              <w:right w:val="single" w:color="auto" w:sz="8" w:space="0"/>
            </w:tcBorders>
            <w:shd w:val="clear" w:color="auto" w:fill="auto"/>
            <w:noWrap w:val="0"/>
            <w:vAlign w:val="center"/>
          </w:tcPr>
          <w:p>
            <w:pPr>
              <w:pStyle w:val="15"/>
              <w:widowControl/>
              <w:spacing w:line="560" w:lineRule="exact"/>
              <w:contextualSpacing/>
              <w:rPr>
                <w:rFonts w:ascii="仿宋_GB2312" w:eastAsia="仿宋_GB2312"/>
                <w:sz w:val="24"/>
                <w:szCs w:val="24"/>
              </w:rPr>
            </w:pPr>
            <w:r>
              <w:rPr>
                <w:rFonts w:hint="eastAsia" w:ascii="仿宋_GB2312" w:eastAsia="仿宋_GB2312"/>
                <w:sz w:val="24"/>
                <w:szCs w:val="24"/>
              </w:rPr>
              <w:t>矿石万吨</w:t>
            </w:r>
            <w:r>
              <w:rPr>
                <w:rFonts w:ascii="仿宋_GB2312" w:eastAsia="仿宋_GB2312"/>
                <w:sz w:val="24"/>
                <w:szCs w:val="24"/>
              </w:rPr>
              <w:t>/年</w:t>
            </w:r>
          </w:p>
        </w:tc>
        <w:tc>
          <w:tcPr>
            <w:tcW w:w="1531" w:type="dxa"/>
            <w:tcBorders>
              <w:top w:val="nil"/>
              <w:left w:val="nil"/>
              <w:bottom w:val="single" w:color="auto" w:sz="8" w:space="0"/>
              <w:right w:val="single" w:color="auto" w:sz="8" w:space="0"/>
            </w:tcBorders>
            <w:shd w:val="clear" w:color="auto" w:fill="auto"/>
            <w:noWrap w:val="0"/>
            <w:vAlign w:val="center"/>
          </w:tcPr>
          <w:p>
            <w:pPr>
              <w:pStyle w:val="15"/>
              <w:widowControl/>
              <w:spacing w:line="560" w:lineRule="exact"/>
              <w:contextualSpacing/>
              <w:rPr>
                <w:rFonts w:ascii="仿宋_GB2312" w:eastAsia="仿宋_GB2312"/>
                <w:sz w:val="24"/>
                <w:szCs w:val="24"/>
              </w:rPr>
            </w:pPr>
            <w:r>
              <w:rPr>
                <w:rFonts w:ascii="仿宋_GB2312" w:eastAsia="仿宋_GB2312"/>
                <w:sz w:val="24"/>
                <w:szCs w:val="24"/>
              </w:rPr>
              <w:t>100</w:t>
            </w:r>
          </w:p>
        </w:tc>
        <w:tc>
          <w:tcPr>
            <w:tcW w:w="1276" w:type="dxa"/>
            <w:tcBorders>
              <w:top w:val="nil"/>
              <w:left w:val="nil"/>
              <w:bottom w:val="single" w:color="auto" w:sz="8" w:space="0"/>
              <w:right w:val="single" w:color="auto" w:sz="8" w:space="0"/>
            </w:tcBorders>
            <w:shd w:val="clear" w:color="auto" w:fill="auto"/>
            <w:noWrap w:val="0"/>
            <w:vAlign w:val="center"/>
          </w:tcPr>
          <w:p>
            <w:pPr>
              <w:pStyle w:val="15"/>
              <w:widowControl/>
              <w:spacing w:line="560" w:lineRule="exact"/>
              <w:contextualSpacing/>
              <w:rPr>
                <w:rFonts w:ascii="仿宋_GB2312" w:eastAsia="仿宋_GB2312"/>
                <w:sz w:val="24"/>
                <w:szCs w:val="24"/>
              </w:rPr>
            </w:pPr>
            <w:r>
              <w:rPr>
                <w:rFonts w:ascii="仿宋_GB2312" w:eastAsia="仿宋_GB2312"/>
                <w:sz w:val="24"/>
                <w:szCs w:val="24"/>
              </w:rPr>
              <w:t>30</w:t>
            </w:r>
          </w:p>
        </w:tc>
        <w:tc>
          <w:tcPr>
            <w:tcW w:w="1417" w:type="dxa"/>
            <w:tcBorders>
              <w:top w:val="nil"/>
              <w:left w:val="nil"/>
              <w:bottom w:val="single" w:color="auto" w:sz="8" w:space="0"/>
              <w:right w:val="single" w:color="auto" w:sz="8" w:space="0"/>
            </w:tcBorders>
            <w:shd w:val="clear" w:color="auto" w:fill="auto"/>
            <w:noWrap w:val="0"/>
            <w:vAlign w:val="center"/>
          </w:tcPr>
          <w:p>
            <w:pPr>
              <w:pStyle w:val="15"/>
              <w:widowControl/>
              <w:spacing w:line="560" w:lineRule="exact"/>
              <w:contextualSpacing/>
              <w:rPr>
                <w:rFonts w:ascii="仿宋_GB2312" w:eastAsia="仿宋_GB2312"/>
                <w:sz w:val="24"/>
                <w:szCs w:val="24"/>
              </w:rPr>
            </w:pPr>
          </w:p>
        </w:tc>
      </w:tr>
      <w:tr>
        <w:tblPrEx>
          <w:tblCellMar>
            <w:top w:w="0" w:type="dxa"/>
            <w:left w:w="108" w:type="dxa"/>
            <w:bottom w:w="0" w:type="dxa"/>
            <w:right w:w="108" w:type="dxa"/>
          </w:tblCellMar>
        </w:tblPrEx>
        <w:trPr>
          <w:trHeight w:val="567" w:hRule="atLeast"/>
        </w:trPr>
        <w:tc>
          <w:tcPr>
            <w:tcW w:w="2283" w:type="dxa"/>
            <w:tcBorders>
              <w:top w:val="nil"/>
              <w:left w:val="single" w:color="auto" w:sz="8" w:space="0"/>
              <w:bottom w:val="single" w:color="auto" w:sz="8" w:space="0"/>
              <w:right w:val="single" w:color="auto" w:sz="8" w:space="0"/>
            </w:tcBorders>
            <w:shd w:val="clear" w:color="auto" w:fill="auto"/>
            <w:noWrap w:val="0"/>
            <w:vAlign w:val="center"/>
          </w:tcPr>
          <w:p>
            <w:pPr>
              <w:pStyle w:val="15"/>
              <w:widowControl/>
              <w:spacing w:line="560" w:lineRule="exact"/>
              <w:contextualSpacing/>
              <w:rPr>
                <w:rFonts w:ascii="仿宋_GB2312" w:eastAsia="仿宋_GB2312"/>
                <w:sz w:val="24"/>
                <w:szCs w:val="24"/>
              </w:rPr>
            </w:pPr>
            <w:r>
              <w:rPr>
                <w:rFonts w:hint="eastAsia" w:ascii="仿宋_GB2312" w:eastAsia="仿宋_GB2312"/>
                <w:sz w:val="24"/>
                <w:szCs w:val="24"/>
              </w:rPr>
              <w:t>锌</w:t>
            </w:r>
          </w:p>
        </w:tc>
        <w:tc>
          <w:tcPr>
            <w:tcW w:w="2127" w:type="dxa"/>
            <w:tcBorders>
              <w:top w:val="nil"/>
              <w:left w:val="nil"/>
              <w:bottom w:val="single" w:color="auto" w:sz="8" w:space="0"/>
              <w:right w:val="single" w:color="auto" w:sz="8" w:space="0"/>
            </w:tcBorders>
            <w:shd w:val="clear" w:color="auto" w:fill="auto"/>
            <w:noWrap w:val="0"/>
            <w:vAlign w:val="center"/>
          </w:tcPr>
          <w:p>
            <w:pPr>
              <w:pStyle w:val="15"/>
              <w:widowControl/>
              <w:spacing w:line="560" w:lineRule="exact"/>
              <w:contextualSpacing/>
              <w:rPr>
                <w:rFonts w:ascii="仿宋_GB2312" w:eastAsia="仿宋_GB2312"/>
                <w:sz w:val="24"/>
                <w:szCs w:val="24"/>
              </w:rPr>
            </w:pPr>
            <w:r>
              <w:rPr>
                <w:rFonts w:hint="eastAsia" w:ascii="仿宋_GB2312" w:eastAsia="仿宋_GB2312"/>
                <w:sz w:val="24"/>
                <w:szCs w:val="24"/>
              </w:rPr>
              <w:t>矿石万吨</w:t>
            </w:r>
            <w:r>
              <w:rPr>
                <w:rFonts w:ascii="仿宋_GB2312" w:eastAsia="仿宋_GB2312"/>
                <w:sz w:val="24"/>
                <w:szCs w:val="24"/>
              </w:rPr>
              <w:t>/年</w:t>
            </w:r>
          </w:p>
        </w:tc>
        <w:tc>
          <w:tcPr>
            <w:tcW w:w="1531" w:type="dxa"/>
            <w:tcBorders>
              <w:top w:val="nil"/>
              <w:left w:val="nil"/>
              <w:bottom w:val="single" w:color="auto" w:sz="8" w:space="0"/>
              <w:right w:val="single" w:color="auto" w:sz="8" w:space="0"/>
            </w:tcBorders>
            <w:shd w:val="clear" w:color="auto" w:fill="auto"/>
            <w:noWrap w:val="0"/>
            <w:vAlign w:val="center"/>
          </w:tcPr>
          <w:p>
            <w:pPr>
              <w:pStyle w:val="15"/>
              <w:widowControl/>
              <w:spacing w:line="560" w:lineRule="exact"/>
              <w:contextualSpacing/>
              <w:rPr>
                <w:rFonts w:ascii="仿宋_GB2312" w:eastAsia="仿宋_GB2312"/>
                <w:sz w:val="24"/>
                <w:szCs w:val="24"/>
              </w:rPr>
            </w:pPr>
            <w:r>
              <w:rPr>
                <w:rFonts w:ascii="仿宋_GB2312" w:eastAsia="仿宋_GB2312"/>
                <w:sz w:val="24"/>
                <w:szCs w:val="24"/>
              </w:rPr>
              <w:t>100</w:t>
            </w:r>
          </w:p>
        </w:tc>
        <w:tc>
          <w:tcPr>
            <w:tcW w:w="1276" w:type="dxa"/>
            <w:tcBorders>
              <w:top w:val="nil"/>
              <w:left w:val="nil"/>
              <w:bottom w:val="single" w:color="auto" w:sz="8" w:space="0"/>
              <w:right w:val="single" w:color="auto" w:sz="8" w:space="0"/>
            </w:tcBorders>
            <w:shd w:val="clear" w:color="auto" w:fill="auto"/>
            <w:noWrap w:val="0"/>
            <w:vAlign w:val="center"/>
          </w:tcPr>
          <w:p>
            <w:pPr>
              <w:pStyle w:val="15"/>
              <w:widowControl/>
              <w:spacing w:line="560" w:lineRule="exact"/>
              <w:contextualSpacing/>
              <w:rPr>
                <w:rFonts w:ascii="仿宋_GB2312" w:eastAsia="仿宋_GB2312"/>
                <w:sz w:val="24"/>
                <w:szCs w:val="24"/>
              </w:rPr>
            </w:pPr>
            <w:r>
              <w:rPr>
                <w:rFonts w:ascii="仿宋_GB2312" w:eastAsia="仿宋_GB2312"/>
                <w:sz w:val="24"/>
                <w:szCs w:val="24"/>
              </w:rPr>
              <w:t>30</w:t>
            </w:r>
          </w:p>
        </w:tc>
        <w:tc>
          <w:tcPr>
            <w:tcW w:w="1417" w:type="dxa"/>
            <w:tcBorders>
              <w:top w:val="nil"/>
              <w:left w:val="nil"/>
              <w:bottom w:val="single" w:color="auto" w:sz="8" w:space="0"/>
              <w:right w:val="single" w:color="auto" w:sz="8" w:space="0"/>
            </w:tcBorders>
            <w:shd w:val="clear" w:color="auto" w:fill="auto"/>
            <w:noWrap w:val="0"/>
            <w:vAlign w:val="center"/>
          </w:tcPr>
          <w:p>
            <w:pPr>
              <w:pStyle w:val="15"/>
              <w:widowControl/>
              <w:spacing w:line="560" w:lineRule="exact"/>
              <w:contextualSpacing/>
              <w:rPr>
                <w:rFonts w:ascii="仿宋_GB2312" w:eastAsia="仿宋_GB2312"/>
                <w:sz w:val="24"/>
                <w:szCs w:val="24"/>
              </w:rPr>
            </w:pPr>
          </w:p>
        </w:tc>
      </w:tr>
      <w:tr>
        <w:tblPrEx>
          <w:tblCellMar>
            <w:top w:w="0" w:type="dxa"/>
            <w:left w:w="108" w:type="dxa"/>
            <w:bottom w:w="0" w:type="dxa"/>
            <w:right w:w="108" w:type="dxa"/>
          </w:tblCellMar>
        </w:tblPrEx>
        <w:trPr>
          <w:trHeight w:val="567" w:hRule="atLeast"/>
        </w:trPr>
        <w:tc>
          <w:tcPr>
            <w:tcW w:w="2283" w:type="dxa"/>
            <w:tcBorders>
              <w:top w:val="nil"/>
              <w:left w:val="single" w:color="auto" w:sz="8" w:space="0"/>
              <w:bottom w:val="single" w:color="auto" w:sz="8" w:space="0"/>
              <w:right w:val="single" w:color="auto" w:sz="8" w:space="0"/>
            </w:tcBorders>
            <w:shd w:val="clear" w:color="auto" w:fill="auto"/>
            <w:noWrap w:val="0"/>
            <w:vAlign w:val="center"/>
          </w:tcPr>
          <w:p>
            <w:pPr>
              <w:pStyle w:val="15"/>
              <w:widowControl/>
              <w:spacing w:line="560" w:lineRule="exact"/>
              <w:contextualSpacing/>
              <w:rPr>
                <w:rFonts w:ascii="仿宋_GB2312" w:eastAsia="仿宋_GB2312"/>
                <w:sz w:val="24"/>
                <w:szCs w:val="24"/>
              </w:rPr>
            </w:pPr>
            <w:r>
              <w:rPr>
                <w:rFonts w:hint="eastAsia" w:ascii="仿宋_GB2312" w:eastAsia="仿宋_GB2312"/>
                <w:sz w:val="24"/>
                <w:szCs w:val="24"/>
              </w:rPr>
              <w:t>铜</w:t>
            </w:r>
          </w:p>
        </w:tc>
        <w:tc>
          <w:tcPr>
            <w:tcW w:w="2127" w:type="dxa"/>
            <w:tcBorders>
              <w:top w:val="nil"/>
              <w:left w:val="nil"/>
              <w:bottom w:val="single" w:color="auto" w:sz="8" w:space="0"/>
              <w:right w:val="single" w:color="auto" w:sz="8" w:space="0"/>
            </w:tcBorders>
            <w:shd w:val="clear" w:color="auto" w:fill="auto"/>
            <w:noWrap w:val="0"/>
            <w:vAlign w:val="center"/>
          </w:tcPr>
          <w:p>
            <w:pPr>
              <w:pStyle w:val="15"/>
              <w:widowControl/>
              <w:spacing w:line="560" w:lineRule="exact"/>
              <w:contextualSpacing/>
              <w:rPr>
                <w:rFonts w:ascii="仿宋_GB2312" w:eastAsia="仿宋_GB2312"/>
                <w:sz w:val="24"/>
                <w:szCs w:val="24"/>
              </w:rPr>
            </w:pPr>
            <w:r>
              <w:rPr>
                <w:rFonts w:hint="eastAsia" w:ascii="仿宋_GB2312" w:eastAsia="仿宋_GB2312"/>
                <w:sz w:val="24"/>
                <w:szCs w:val="24"/>
              </w:rPr>
              <w:t>矿石万吨</w:t>
            </w:r>
            <w:r>
              <w:rPr>
                <w:rFonts w:ascii="仿宋_GB2312" w:eastAsia="仿宋_GB2312"/>
                <w:sz w:val="24"/>
                <w:szCs w:val="24"/>
              </w:rPr>
              <w:t>/年</w:t>
            </w:r>
          </w:p>
        </w:tc>
        <w:tc>
          <w:tcPr>
            <w:tcW w:w="1531" w:type="dxa"/>
            <w:tcBorders>
              <w:top w:val="nil"/>
              <w:left w:val="nil"/>
              <w:bottom w:val="single" w:color="auto" w:sz="8" w:space="0"/>
              <w:right w:val="single" w:color="auto" w:sz="8" w:space="0"/>
            </w:tcBorders>
            <w:shd w:val="clear" w:color="auto" w:fill="auto"/>
            <w:noWrap w:val="0"/>
            <w:vAlign w:val="center"/>
          </w:tcPr>
          <w:p>
            <w:pPr>
              <w:pStyle w:val="15"/>
              <w:widowControl/>
              <w:spacing w:line="560" w:lineRule="exact"/>
              <w:contextualSpacing/>
              <w:rPr>
                <w:rFonts w:ascii="仿宋_GB2312" w:eastAsia="仿宋_GB2312"/>
                <w:sz w:val="24"/>
                <w:szCs w:val="24"/>
              </w:rPr>
            </w:pPr>
            <w:r>
              <w:rPr>
                <w:rFonts w:ascii="仿宋_GB2312" w:eastAsia="仿宋_GB2312"/>
                <w:sz w:val="24"/>
                <w:szCs w:val="24"/>
              </w:rPr>
              <w:t>100</w:t>
            </w:r>
          </w:p>
        </w:tc>
        <w:tc>
          <w:tcPr>
            <w:tcW w:w="1276" w:type="dxa"/>
            <w:tcBorders>
              <w:top w:val="nil"/>
              <w:left w:val="nil"/>
              <w:bottom w:val="single" w:color="auto" w:sz="8" w:space="0"/>
              <w:right w:val="single" w:color="auto" w:sz="8" w:space="0"/>
            </w:tcBorders>
            <w:shd w:val="clear" w:color="auto" w:fill="auto"/>
            <w:noWrap w:val="0"/>
            <w:vAlign w:val="center"/>
          </w:tcPr>
          <w:p>
            <w:pPr>
              <w:pStyle w:val="15"/>
              <w:widowControl/>
              <w:spacing w:line="560" w:lineRule="exact"/>
              <w:contextualSpacing/>
              <w:rPr>
                <w:rFonts w:ascii="仿宋_GB2312" w:eastAsia="仿宋_GB2312"/>
                <w:sz w:val="24"/>
                <w:szCs w:val="24"/>
              </w:rPr>
            </w:pPr>
            <w:r>
              <w:rPr>
                <w:rFonts w:ascii="仿宋_GB2312" w:eastAsia="仿宋_GB2312"/>
                <w:sz w:val="24"/>
                <w:szCs w:val="24"/>
              </w:rPr>
              <w:t>30</w:t>
            </w:r>
          </w:p>
        </w:tc>
        <w:tc>
          <w:tcPr>
            <w:tcW w:w="1417" w:type="dxa"/>
            <w:tcBorders>
              <w:top w:val="nil"/>
              <w:left w:val="nil"/>
              <w:bottom w:val="single" w:color="auto" w:sz="8" w:space="0"/>
              <w:right w:val="single" w:color="auto" w:sz="8" w:space="0"/>
            </w:tcBorders>
            <w:shd w:val="clear" w:color="auto" w:fill="auto"/>
            <w:noWrap w:val="0"/>
            <w:vAlign w:val="center"/>
          </w:tcPr>
          <w:p>
            <w:pPr>
              <w:pStyle w:val="15"/>
              <w:widowControl/>
              <w:spacing w:line="560" w:lineRule="exact"/>
              <w:contextualSpacing/>
              <w:rPr>
                <w:rFonts w:ascii="仿宋_GB2312" w:eastAsia="仿宋_GB2312"/>
                <w:sz w:val="24"/>
                <w:szCs w:val="24"/>
              </w:rPr>
            </w:pPr>
            <w:r>
              <w:rPr>
                <w:rFonts w:ascii="仿宋_GB2312" w:eastAsia="仿宋_GB2312"/>
                <w:sz w:val="24"/>
                <w:szCs w:val="24"/>
              </w:rPr>
              <w:t>6</w:t>
            </w:r>
          </w:p>
        </w:tc>
      </w:tr>
      <w:tr>
        <w:tblPrEx>
          <w:tblCellMar>
            <w:top w:w="0" w:type="dxa"/>
            <w:left w:w="108" w:type="dxa"/>
            <w:bottom w:w="0" w:type="dxa"/>
            <w:right w:w="108" w:type="dxa"/>
          </w:tblCellMar>
        </w:tblPrEx>
        <w:trPr>
          <w:trHeight w:val="567" w:hRule="atLeast"/>
        </w:trPr>
        <w:tc>
          <w:tcPr>
            <w:tcW w:w="2283" w:type="dxa"/>
            <w:tcBorders>
              <w:top w:val="nil"/>
              <w:left w:val="single" w:color="auto" w:sz="8" w:space="0"/>
              <w:bottom w:val="single" w:color="auto" w:sz="8" w:space="0"/>
              <w:right w:val="single" w:color="auto" w:sz="8" w:space="0"/>
            </w:tcBorders>
            <w:shd w:val="clear" w:color="auto" w:fill="auto"/>
            <w:noWrap w:val="0"/>
            <w:vAlign w:val="center"/>
          </w:tcPr>
          <w:p>
            <w:pPr>
              <w:pStyle w:val="15"/>
              <w:widowControl/>
              <w:spacing w:line="560" w:lineRule="exact"/>
              <w:contextualSpacing/>
              <w:rPr>
                <w:rFonts w:ascii="仿宋_GB2312" w:eastAsia="仿宋_GB2312"/>
                <w:sz w:val="24"/>
                <w:szCs w:val="24"/>
              </w:rPr>
            </w:pPr>
            <w:r>
              <w:rPr>
                <w:rFonts w:hint="eastAsia" w:ascii="仿宋_GB2312" w:eastAsia="仿宋_GB2312"/>
                <w:sz w:val="24"/>
                <w:szCs w:val="24"/>
              </w:rPr>
              <w:t>岩金（地下开采）</w:t>
            </w:r>
          </w:p>
        </w:tc>
        <w:tc>
          <w:tcPr>
            <w:tcW w:w="2127" w:type="dxa"/>
            <w:tcBorders>
              <w:top w:val="nil"/>
              <w:left w:val="nil"/>
              <w:bottom w:val="single" w:color="auto" w:sz="8" w:space="0"/>
              <w:right w:val="single" w:color="auto" w:sz="8" w:space="0"/>
            </w:tcBorders>
            <w:shd w:val="clear" w:color="auto" w:fill="auto"/>
            <w:noWrap w:val="0"/>
            <w:vAlign w:val="center"/>
          </w:tcPr>
          <w:p>
            <w:pPr>
              <w:pStyle w:val="15"/>
              <w:widowControl/>
              <w:spacing w:line="560" w:lineRule="exact"/>
              <w:contextualSpacing/>
              <w:rPr>
                <w:rFonts w:ascii="仿宋_GB2312" w:eastAsia="仿宋_GB2312"/>
                <w:sz w:val="24"/>
                <w:szCs w:val="24"/>
              </w:rPr>
            </w:pPr>
            <w:r>
              <w:rPr>
                <w:rFonts w:hint="eastAsia" w:ascii="仿宋_GB2312" w:eastAsia="仿宋_GB2312"/>
                <w:sz w:val="24"/>
                <w:szCs w:val="24"/>
              </w:rPr>
              <w:t>矿石万吨</w:t>
            </w:r>
            <w:r>
              <w:rPr>
                <w:rFonts w:ascii="仿宋_GB2312" w:eastAsia="仿宋_GB2312"/>
                <w:sz w:val="24"/>
                <w:szCs w:val="24"/>
              </w:rPr>
              <w:t>/年</w:t>
            </w:r>
          </w:p>
        </w:tc>
        <w:tc>
          <w:tcPr>
            <w:tcW w:w="1531" w:type="dxa"/>
            <w:tcBorders>
              <w:top w:val="nil"/>
              <w:left w:val="nil"/>
              <w:bottom w:val="single" w:color="auto" w:sz="8" w:space="0"/>
              <w:right w:val="single" w:color="auto" w:sz="8" w:space="0"/>
            </w:tcBorders>
            <w:shd w:val="clear" w:color="auto" w:fill="auto"/>
            <w:noWrap w:val="0"/>
            <w:vAlign w:val="center"/>
          </w:tcPr>
          <w:p>
            <w:pPr>
              <w:pStyle w:val="15"/>
              <w:widowControl/>
              <w:spacing w:line="560" w:lineRule="exact"/>
              <w:contextualSpacing/>
              <w:rPr>
                <w:rFonts w:ascii="仿宋_GB2312" w:eastAsia="仿宋_GB2312"/>
                <w:sz w:val="24"/>
                <w:szCs w:val="24"/>
              </w:rPr>
            </w:pPr>
            <w:r>
              <w:rPr>
                <w:rFonts w:ascii="仿宋_GB2312" w:eastAsia="仿宋_GB2312"/>
                <w:sz w:val="24"/>
                <w:szCs w:val="24"/>
              </w:rPr>
              <w:t>15</w:t>
            </w:r>
          </w:p>
        </w:tc>
        <w:tc>
          <w:tcPr>
            <w:tcW w:w="1276" w:type="dxa"/>
            <w:tcBorders>
              <w:top w:val="nil"/>
              <w:left w:val="nil"/>
              <w:bottom w:val="single" w:color="auto" w:sz="8" w:space="0"/>
              <w:right w:val="single" w:color="auto" w:sz="8" w:space="0"/>
            </w:tcBorders>
            <w:shd w:val="clear" w:color="auto" w:fill="auto"/>
            <w:noWrap w:val="0"/>
            <w:vAlign w:val="center"/>
          </w:tcPr>
          <w:p>
            <w:pPr>
              <w:pStyle w:val="15"/>
              <w:widowControl/>
              <w:spacing w:line="560" w:lineRule="exact"/>
              <w:contextualSpacing/>
              <w:rPr>
                <w:rFonts w:ascii="仿宋_GB2312" w:eastAsia="仿宋_GB2312"/>
                <w:sz w:val="24"/>
                <w:szCs w:val="24"/>
              </w:rPr>
            </w:pPr>
            <w:r>
              <w:rPr>
                <w:rFonts w:ascii="仿宋_GB2312" w:eastAsia="仿宋_GB2312"/>
                <w:sz w:val="24"/>
                <w:szCs w:val="24"/>
              </w:rPr>
              <w:t>6</w:t>
            </w:r>
          </w:p>
        </w:tc>
        <w:tc>
          <w:tcPr>
            <w:tcW w:w="1417" w:type="dxa"/>
            <w:tcBorders>
              <w:top w:val="nil"/>
              <w:left w:val="nil"/>
              <w:bottom w:val="single" w:color="auto" w:sz="8" w:space="0"/>
              <w:right w:val="single" w:color="auto" w:sz="8" w:space="0"/>
            </w:tcBorders>
            <w:shd w:val="clear" w:color="auto" w:fill="auto"/>
            <w:noWrap w:val="0"/>
            <w:vAlign w:val="center"/>
          </w:tcPr>
          <w:p>
            <w:pPr>
              <w:pStyle w:val="15"/>
              <w:widowControl/>
              <w:spacing w:line="560" w:lineRule="exact"/>
              <w:contextualSpacing/>
              <w:rPr>
                <w:rFonts w:ascii="仿宋_GB2312" w:eastAsia="仿宋_GB2312"/>
                <w:sz w:val="24"/>
                <w:szCs w:val="24"/>
              </w:rPr>
            </w:pPr>
            <w:r>
              <w:rPr>
                <w:rFonts w:ascii="仿宋_GB2312" w:eastAsia="仿宋_GB2312"/>
                <w:sz w:val="24"/>
                <w:szCs w:val="24"/>
              </w:rPr>
              <w:t>4</w:t>
            </w:r>
          </w:p>
        </w:tc>
      </w:tr>
      <w:tr>
        <w:tblPrEx>
          <w:tblCellMar>
            <w:top w:w="0" w:type="dxa"/>
            <w:left w:w="108" w:type="dxa"/>
            <w:bottom w:w="0" w:type="dxa"/>
            <w:right w:w="108" w:type="dxa"/>
          </w:tblCellMar>
        </w:tblPrEx>
        <w:trPr>
          <w:trHeight w:val="567" w:hRule="atLeast"/>
        </w:trPr>
        <w:tc>
          <w:tcPr>
            <w:tcW w:w="2283" w:type="dxa"/>
            <w:tcBorders>
              <w:top w:val="nil"/>
              <w:left w:val="single" w:color="auto" w:sz="8" w:space="0"/>
              <w:bottom w:val="single" w:color="auto" w:sz="8" w:space="0"/>
              <w:right w:val="single" w:color="auto" w:sz="8" w:space="0"/>
            </w:tcBorders>
            <w:shd w:val="clear" w:color="auto" w:fill="auto"/>
            <w:noWrap w:val="0"/>
            <w:vAlign w:val="center"/>
          </w:tcPr>
          <w:p>
            <w:pPr>
              <w:pStyle w:val="15"/>
              <w:spacing w:line="560" w:lineRule="exact"/>
              <w:contextualSpacing/>
              <w:rPr>
                <w:rFonts w:ascii="仿宋_GB2312" w:eastAsia="仿宋_GB2312"/>
                <w:sz w:val="24"/>
                <w:szCs w:val="24"/>
              </w:rPr>
            </w:pPr>
            <w:r>
              <w:rPr>
                <w:rFonts w:hint="eastAsia" w:ascii="仿宋_GB2312" w:eastAsia="仿宋_GB2312"/>
                <w:sz w:val="24"/>
                <w:szCs w:val="24"/>
              </w:rPr>
              <w:t>岩金（露天开采）</w:t>
            </w:r>
          </w:p>
        </w:tc>
        <w:tc>
          <w:tcPr>
            <w:tcW w:w="2127" w:type="dxa"/>
            <w:tcBorders>
              <w:top w:val="nil"/>
              <w:left w:val="nil"/>
              <w:bottom w:val="single" w:color="auto" w:sz="8" w:space="0"/>
              <w:right w:val="single" w:color="auto" w:sz="8" w:space="0"/>
            </w:tcBorders>
            <w:shd w:val="clear" w:color="auto" w:fill="auto"/>
            <w:noWrap w:val="0"/>
            <w:vAlign w:val="center"/>
          </w:tcPr>
          <w:p>
            <w:pPr>
              <w:pStyle w:val="15"/>
              <w:spacing w:line="560" w:lineRule="exact"/>
              <w:contextualSpacing/>
              <w:rPr>
                <w:rFonts w:ascii="仿宋_GB2312" w:eastAsia="仿宋_GB2312"/>
                <w:sz w:val="24"/>
                <w:szCs w:val="24"/>
              </w:rPr>
            </w:pPr>
            <w:r>
              <w:rPr>
                <w:rFonts w:hint="eastAsia" w:ascii="仿宋_GB2312" w:eastAsia="仿宋_GB2312"/>
                <w:sz w:val="24"/>
                <w:szCs w:val="24"/>
              </w:rPr>
              <w:t>矿石万吨</w:t>
            </w:r>
            <w:r>
              <w:rPr>
                <w:rFonts w:ascii="仿宋_GB2312" w:eastAsia="仿宋_GB2312"/>
                <w:sz w:val="24"/>
                <w:szCs w:val="24"/>
              </w:rPr>
              <w:t>/年</w:t>
            </w:r>
          </w:p>
        </w:tc>
        <w:tc>
          <w:tcPr>
            <w:tcW w:w="1531" w:type="dxa"/>
            <w:tcBorders>
              <w:top w:val="nil"/>
              <w:left w:val="nil"/>
              <w:bottom w:val="single" w:color="auto" w:sz="8" w:space="0"/>
              <w:right w:val="single" w:color="auto" w:sz="8" w:space="0"/>
            </w:tcBorders>
            <w:shd w:val="clear" w:color="auto" w:fill="auto"/>
            <w:noWrap w:val="0"/>
            <w:vAlign w:val="center"/>
          </w:tcPr>
          <w:p>
            <w:pPr>
              <w:pStyle w:val="15"/>
              <w:widowControl/>
              <w:spacing w:line="560" w:lineRule="exact"/>
              <w:contextualSpacing/>
              <w:rPr>
                <w:rFonts w:ascii="仿宋_GB2312" w:eastAsia="仿宋_GB2312"/>
                <w:sz w:val="24"/>
                <w:szCs w:val="24"/>
              </w:rPr>
            </w:pPr>
            <w:r>
              <w:rPr>
                <w:rFonts w:ascii="仿宋_GB2312" w:eastAsia="仿宋_GB2312"/>
                <w:sz w:val="24"/>
                <w:szCs w:val="24"/>
              </w:rPr>
              <w:t>15</w:t>
            </w:r>
          </w:p>
        </w:tc>
        <w:tc>
          <w:tcPr>
            <w:tcW w:w="1276" w:type="dxa"/>
            <w:tcBorders>
              <w:top w:val="nil"/>
              <w:left w:val="nil"/>
              <w:bottom w:val="single" w:color="auto" w:sz="8" w:space="0"/>
              <w:right w:val="single" w:color="auto" w:sz="8" w:space="0"/>
            </w:tcBorders>
            <w:shd w:val="clear" w:color="auto" w:fill="auto"/>
            <w:noWrap w:val="0"/>
            <w:vAlign w:val="center"/>
          </w:tcPr>
          <w:p>
            <w:pPr>
              <w:pStyle w:val="15"/>
              <w:widowControl/>
              <w:spacing w:line="560" w:lineRule="exact"/>
              <w:contextualSpacing/>
              <w:rPr>
                <w:rFonts w:ascii="仿宋_GB2312" w:eastAsia="仿宋_GB2312"/>
                <w:sz w:val="24"/>
                <w:szCs w:val="24"/>
              </w:rPr>
            </w:pPr>
            <w:r>
              <w:rPr>
                <w:rFonts w:ascii="仿宋_GB2312" w:eastAsia="仿宋_GB2312"/>
                <w:sz w:val="24"/>
                <w:szCs w:val="24"/>
              </w:rPr>
              <w:t>9</w:t>
            </w:r>
          </w:p>
        </w:tc>
        <w:tc>
          <w:tcPr>
            <w:tcW w:w="1417" w:type="dxa"/>
            <w:tcBorders>
              <w:top w:val="nil"/>
              <w:left w:val="nil"/>
              <w:bottom w:val="single" w:color="auto" w:sz="8" w:space="0"/>
              <w:right w:val="single" w:color="auto" w:sz="8" w:space="0"/>
            </w:tcBorders>
            <w:shd w:val="clear" w:color="auto" w:fill="auto"/>
            <w:noWrap w:val="0"/>
            <w:vAlign w:val="center"/>
          </w:tcPr>
          <w:p>
            <w:pPr>
              <w:pStyle w:val="15"/>
              <w:widowControl/>
              <w:spacing w:line="560" w:lineRule="exact"/>
              <w:contextualSpacing/>
              <w:rPr>
                <w:rFonts w:ascii="仿宋_GB2312" w:eastAsia="仿宋_GB2312"/>
                <w:sz w:val="24"/>
                <w:szCs w:val="24"/>
              </w:rPr>
            </w:pPr>
            <w:r>
              <w:rPr>
                <w:rFonts w:ascii="仿宋_GB2312" w:eastAsia="仿宋_GB2312"/>
                <w:sz w:val="24"/>
                <w:szCs w:val="24"/>
              </w:rPr>
              <w:t>-</w:t>
            </w:r>
          </w:p>
        </w:tc>
      </w:tr>
      <w:tr>
        <w:tblPrEx>
          <w:tblCellMar>
            <w:top w:w="0" w:type="dxa"/>
            <w:left w:w="108" w:type="dxa"/>
            <w:bottom w:w="0" w:type="dxa"/>
            <w:right w:w="108" w:type="dxa"/>
          </w:tblCellMar>
        </w:tblPrEx>
        <w:trPr>
          <w:trHeight w:val="567" w:hRule="atLeast"/>
        </w:trPr>
        <w:tc>
          <w:tcPr>
            <w:tcW w:w="2283" w:type="dxa"/>
            <w:tcBorders>
              <w:top w:val="nil"/>
              <w:left w:val="single" w:color="auto" w:sz="8" w:space="0"/>
              <w:bottom w:val="single" w:color="auto" w:sz="8" w:space="0"/>
              <w:right w:val="single" w:color="auto" w:sz="8" w:space="0"/>
            </w:tcBorders>
            <w:shd w:val="clear" w:color="auto" w:fill="auto"/>
            <w:noWrap w:val="0"/>
            <w:vAlign w:val="center"/>
          </w:tcPr>
          <w:p>
            <w:pPr>
              <w:pStyle w:val="15"/>
              <w:widowControl/>
              <w:spacing w:line="560" w:lineRule="exact"/>
              <w:contextualSpacing/>
              <w:rPr>
                <w:rFonts w:ascii="仿宋_GB2312" w:eastAsia="仿宋_GB2312"/>
                <w:sz w:val="24"/>
                <w:szCs w:val="24"/>
              </w:rPr>
            </w:pPr>
            <w:r>
              <w:rPr>
                <w:rFonts w:hint="eastAsia" w:ascii="仿宋_GB2312" w:eastAsia="仿宋_GB2312"/>
                <w:sz w:val="24"/>
                <w:szCs w:val="24"/>
              </w:rPr>
              <w:t>银</w:t>
            </w:r>
          </w:p>
        </w:tc>
        <w:tc>
          <w:tcPr>
            <w:tcW w:w="2127" w:type="dxa"/>
            <w:tcBorders>
              <w:top w:val="nil"/>
              <w:left w:val="nil"/>
              <w:bottom w:val="single" w:color="auto" w:sz="8" w:space="0"/>
              <w:right w:val="single" w:color="auto" w:sz="8" w:space="0"/>
            </w:tcBorders>
            <w:shd w:val="clear" w:color="auto" w:fill="auto"/>
            <w:noWrap w:val="0"/>
            <w:vAlign w:val="center"/>
          </w:tcPr>
          <w:p>
            <w:pPr>
              <w:pStyle w:val="15"/>
              <w:widowControl/>
              <w:spacing w:line="560" w:lineRule="exact"/>
              <w:contextualSpacing/>
              <w:rPr>
                <w:rFonts w:ascii="仿宋_GB2312" w:eastAsia="仿宋_GB2312"/>
                <w:sz w:val="24"/>
                <w:szCs w:val="24"/>
              </w:rPr>
            </w:pPr>
            <w:r>
              <w:rPr>
                <w:rFonts w:hint="eastAsia" w:ascii="仿宋_GB2312" w:eastAsia="仿宋_GB2312"/>
                <w:sz w:val="24"/>
                <w:szCs w:val="24"/>
              </w:rPr>
              <w:t>矿石万吨</w:t>
            </w:r>
            <w:r>
              <w:rPr>
                <w:rFonts w:ascii="仿宋_GB2312" w:eastAsia="仿宋_GB2312"/>
                <w:sz w:val="24"/>
                <w:szCs w:val="24"/>
              </w:rPr>
              <w:t>/年</w:t>
            </w:r>
          </w:p>
        </w:tc>
        <w:tc>
          <w:tcPr>
            <w:tcW w:w="1531" w:type="dxa"/>
            <w:tcBorders>
              <w:top w:val="nil"/>
              <w:left w:val="nil"/>
              <w:bottom w:val="single" w:color="auto" w:sz="8" w:space="0"/>
              <w:right w:val="single" w:color="auto" w:sz="8" w:space="0"/>
            </w:tcBorders>
            <w:shd w:val="clear" w:color="auto" w:fill="auto"/>
            <w:noWrap w:val="0"/>
            <w:vAlign w:val="center"/>
          </w:tcPr>
          <w:p>
            <w:pPr>
              <w:pStyle w:val="15"/>
              <w:widowControl/>
              <w:spacing w:line="560" w:lineRule="exact"/>
              <w:contextualSpacing/>
              <w:rPr>
                <w:rFonts w:ascii="仿宋_GB2312" w:eastAsia="仿宋_GB2312"/>
                <w:sz w:val="24"/>
                <w:szCs w:val="24"/>
              </w:rPr>
            </w:pPr>
            <w:r>
              <w:rPr>
                <w:rFonts w:ascii="仿宋_GB2312" w:eastAsia="仿宋_GB2312"/>
                <w:sz w:val="24"/>
                <w:szCs w:val="24"/>
              </w:rPr>
              <w:t>30</w:t>
            </w:r>
          </w:p>
        </w:tc>
        <w:tc>
          <w:tcPr>
            <w:tcW w:w="1276" w:type="dxa"/>
            <w:tcBorders>
              <w:top w:val="nil"/>
              <w:left w:val="nil"/>
              <w:bottom w:val="single" w:color="auto" w:sz="8" w:space="0"/>
              <w:right w:val="single" w:color="auto" w:sz="8" w:space="0"/>
            </w:tcBorders>
            <w:shd w:val="clear" w:color="auto" w:fill="auto"/>
            <w:noWrap w:val="0"/>
            <w:vAlign w:val="center"/>
          </w:tcPr>
          <w:p>
            <w:pPr>
              <w:pStyle w:val="15"/>
              <w:widowControl/>
              <w:spacing w:line="560" w:lineRule="exact"/>
              <w:contextualSpacing/>
              <w:rPr>
                <w:rFonts w:ascii="仿宋_GB2312" w:eastAsia="仿宋_GB2312"/>
                <w:sz w:val="24"/>
                <w:szCs w:val="24"/>
              </w:rPr>
            </w:pPr>
            <w:r>
              <w:rPr>
                <w:rFonts w:ascii="仿宋_GB2312" w:eastAsia="仿宋_GB2312"/>
                <w:sz w:val="24"/>
                <w:szCs w:val="24"/>
              </w:rPr>
              <w:t>20</w:t>
            </w:r>
          </w:p>
        </w:tc>
        <w:tc>
          <w:tcPr>
            <w:tcW w:w="1417" w:type="dxa"/>
            <w:tcBorders>
              <w:top w:val="nil"/>
              <w:left w:val="nil"/>
              <w:bottom w:val="single" w:color="auto" w:sz="8" w:space="0"/>
              <w:right w:val="single" w:color="auto" w:sz="8" w:space="0"/>
            </w:tcBorders>
            <w:shd w:val="clear" w:color="auto" w:fill="auto"/>
            <w:noWrap w:val="0"/>
            <w:vAlign w:val="center"/>
          </w:tcPr>
          <w:p>
            <w:pPr>
              <w:pStyle w:val="15"/>
              <w:widowControl/>
              <w:spacing w:line="560" w:lineRule="exact"/>
              <w:contextualSpacing/>
              <w:rPr>
                <w:rFonts w:ascii="仿宋_GB2312" w:eastAsia="仿宋_GB2312"/>
                <w:sz w:val="24"/>
                <w:szCs w:val="24"/>
              </w:rPr>
            </w:pPr>
          </w:p>
        </w:tc>
      </w:tr>
      <w:tr>
        <w:tblPrEx>
          <w:tblCellMar>
            <w:top w:w="0" w:type="dxa"/>
            <w:left w:w="108" w:type="dxa"/>
            <w:bottom w:w="0" w:type="dxa"/>
            <w:right w:w="108" w:type="dxa"/>
          </w:tblCellMar>
        </w:tblPrEx>
        <w:trPr>
          <w:trHeight w:val="567" w:hRule="atLeast"/>
        </w:trPr>
        <w:tc>
          <w:tcPr>
            <w:tcW w:w="2283" w:type="dxa"/>
            <w:tcBorders>
              <w:top w:val="nil"/>
              <w:left w:val="single" w:color="auto" w:sz="8" w:space="0"/>
              <w:bottom w:val="single" w:color="auto" w:sz="8" w:space="0"/>
              <w:right w:val="single" w:color="auto" w:sz="8" w:space="0"/>
            </w:tcBorders>
            <w:shd w:val="clear" w:color="auto" w:fill="auto"/>
            <w:noWrap w:val="0"/>
            <w:vAlign w:val="center"/>
          </w:tcPr>
          <w:p>
            <w:pPr>
              <w:pStyle w:val="15"/>
              <w:widowControl/>
              <w:spacing w:line="560" w:lineRule="exact"/>
              <w:contextualSpacing/>
              <w:rPr>
                <w:rFonts w:ascii="仿宋_GB2312" w:eastAsia="仿宋_GB2312"/>
                <w:sz w:val="24"/>
                <w:szCs w:val="24"/>
              </w:rPr>
            </w:pPr>
            <w:r>
              <w:rPr>
                <w:rFonts w:hint="eastAsia" w:ascii="仿宋_GB2312" w:eastAsia="仿宋_GB2312"/>
                <w:sz w:val="24"/>
                <w:szCs w:val="24"/>
              </w:rPr>
              <w:t>建筑用砂</w:t>
            </w:r>
          </w:p>
        </w:tc>
        <w:tc>
          <w:tcPr>
            <w:tcW w:w="2127" w:type="dxa"/>
            <w:tcBorders>
              <w:top w:val="nil"/>
              <w:left w:val="nil"/>
              <w:bottom w:val="single" w:color="auto" w:sz="8" w:space="0"/>
              <w:right w:val="single" w:color="auto" w:sz="8" w:space="0"/>
            </w:tcBorders>
            <w:shd w:val="clear" w:color="auto" w:fill="auto"/>
            <w:noWrap w:val="0"/>
            <w:vAlign w:val="center"/>
          </w:tcPr>
          <w:p>
            <w:pPr>
              <w:pStyle w:val="15"/>
              <w:widowControl/>
              <w:spacing w:line="560" w:lineRule="exact"/>
              <w:contextualSpacing/>
              <w:rPr>
                <w:rFonts w:ascii="仿宋_GB2312" w:eastAsia="仿宋_GB2312"/>
                <w:sz w:val="24"/>
                <w:szCs w:val="24"/>
              </w:rPr>
            </w:pPr>
            <w:r>
              <w:rPr>
                <w:rFonts w:hint="eastAsia" w:ascii="仿宋_GB2312" w:eastAsia="仿宋_GB2312"/>
                <w:sz w:val="24"/>
                <w:szCs w:val="24"/>
              </w:rPr>
              <w:t>万立方米</w:t>
            </w:r>
            <w:r>
              <w:rPr>
                <w:rFonts w:ascii="仿宋_GB2312" w:eastAsia="仿宋_GB2312"/>
                <w:sz w:val="24"/>
                <w:szCs w:val="24"/>
              </w:rPr>
              <w:t>/年</w:t>
            </w:r>
          </w:p>
        </w:tc>
        <w:tc>
          <w:tcPr>
            <w:tcW w:w="1531" w:type="dxa"/>
            <w:tcBorders>
              <w:top w:val="nil"/>
              <w:left w:val="nil"/>
              <w:bottom w:val="single" w:color="auto" w:sz="8" w:space="0"/>
              <w:right w:val="single" w:color="auto" w:sz="8" w:space="0"/>
            </w:tcBorders>
            <w:shd w:val="clear" w:color="auto" w:fill="auto"/>
            <w:noWrap w:val="0"/>
            <w:vAlign w:val="center"/>
          </w:tcPr>
          <w:p>
            <w:pPr>
              <w:pStyle w:val="15"/>
              <w:widowControl/>
              <w:spacing w:line="560" w:lineRule="exact"/>
              <w:contextualSpacing/>
              <w:rPr>
                <w:rFonts w:ascii="仿宋_GB2312" w:eastAsia="仿宋_GB2312"/>
                <w:sz w:val="24"/>
                <w:szCs w:val="24"/>
              </w:rPr>
            </w:pPr>
            <w:r>
              <w:rPr>
                <w:rFonts w:ascii="仿宋_GB2312" w:eastAsia="仿宋_GB2312"/>
                <w:sz w:val="24"/>
                <w:szCs w:val="24"/>
              </w:rPr>
              <w:t>30</w:t>
            </w:r>
          </w:p>
        </w:tc>
        <w:tc>
          <w:tcPr>
            <w:tcW w:w="1276" w:type="dxa"/>
            <w:tcBorders>
              <w:top w:val="nil"/>
              <w:left w:val="nil"/>
              <w:bottom w:val="single" w:color="auto" w:sz="8" w:space="0"/>
              <w:right w:val="single" w:color="auto" w:sz="8" w:space="0"/>
            </w:tcBorders>
            <w:shd w:val="clear" w:color="auto" w:fill="auto"/>
            <w:noWrap w:val="0"/>
            <w:vAlign w:val="center"/>
          </w:tcPr>
          <w:p>
            <w:pPr>
              <w:pStyle w:val="15"/>
              <w:widowControl/>
              <w:spacing w:line="560" w:lineRule="exact"/>
              <w:contextualSpacing/>
              <w:rPr>
                <w:rFonts w:ascii="仿宋_GB2312" w:eastAsia="仿宋_GB2312"/>
                <w:sz w:val="24"/>
                <w:szCs w:val="24"/>
              </w:rPr>
            </w:pPr>
            <w:r>
              <w:rPr>
                <w:rFonts w:ascii="仿宋_GB2312" w:eastAsia="仿宋_GB2312"/>
                <w:sz w:val="24"/>
                <w:szCs w:val="24"/>
              </w:rPr>
              <w:t>6</w:t>
            </w:r>
          </w:p>
        </w:tc>
        <w:tc>
          <w:tcPr>
            <w:tcW w:w="1417" w:type="dxa"/>
            <w:tcBorders>
              <w:top w:val="nil"/>
              <w:left w:val="nil"/>
              <w:bottom w:val="single" w:color="auto" w:sz="8" w:space="0"/>
              <w:right w:val="single" w:color="auto" w:sz="8" w:space="0"/>
            </w:tcBorders>
            <w:shd w:val="clear" w:color="auto" w:fill="auto"/>
            <w:noWrap w:val="0"/>
            <w:vAlign w:val="center"/>
          </w:tcPr>
          <w:p>
            <w:pPr>
              <w:pStyle w:val="15"/>
              <w:widowControl/>
              <w:spacing w:line="560" w:lineRule="exact"/>
              <w:contextualSpacing/>
              <w:rPr>
                <w:rFonts w:ascii="仿宋_GB2312" w:eastAsia="仿宋_GB2312"/>
                <w:sz w:val="24"/>
                <w:szCs w:val="24"/>
              </w:rPr>
            </w:pPr>
          </w:p>
        </w:tc>
      </w:tr>
      <w:tr>
        <w:tblPrEx>
          <w:tblCellMar>
            <w:top w:w="0" w:type="dxa"/>
            <w:left w:w="108" w:type="dxa"/>
            <w:bottom w:w="0" w:type="dxa"/>
            <w:right w:w="108" w:type="dxa"/>
          </w:tblCellMar>
        </w:tblPrEx>
        <w:trPr>
          <w:trHeight w:val="567" w:hRule="atLeast"/>
        </w:trPr>
        <w:tc>
          <w:tcPr>
            <w:tcW w:w="2283" w:type="dxa"/>
            <w:tcBorders>
              <w:top w:val="nil"/>
              <w:left w:val="single" w:color="auto" w:sz="8" w:space="0"/>
              <w:bottom w:val="single" w:color="auto" w:sz="8" w:space="0"/>
              <w:right w:val="single" w:color="auto" w:sz="8" w:space="0"/>
            </w:tcBorders>
            <w:shd w:val="clear" w:color="auto" w:fill="auto"/>
            <w:noWrap w:val="0"/>
            <w:vAlign w:val="center"/>
          </w:tcPr>
          <w:p>
            <w:pPr>
              <w:pStyle w:val="15"/>
              <w:widowControl/>
              <w:spacing w:line="560" w:lineRule="exact"/>
              <w:contextualSpacing/>
              <w:rPr>
                <w:rFonts w:ascii="仿宋_GB2312" w:eastAsia="仿宋_GB2312"/>
                <w:sz w:val="24"/>
                <w:szCs w:val="24"/>
              </w:rPr>
            </w:pPr>
            <w:r>
              <w:rPr>
                <w:rFonts w:hint="eastAsia" w:ascii="仿宋_GB2312" w:eastAsia="仿宋_GB2312"/>
                <w:sz w:val="24"/>
                <w:szCs w:val="24"/>
              </w:rPr>
              <w:t>建筑用石</w:t>
            </w:r>
          </w:p>
        </w:tc>
        <w:tc>
          <w:tcPr>
            <w:tcW w:w="2127" w:type="dxa"/>
            <w:tcBorders>
              <w:top w:val="nil"/>
              <w:left w:val="nil"/>
              <w:bottom w:val="single" w:color="auto" w:sz="8" w:space="0"/>
              <w:right w:val="single" w:color="auto" w:sz="8" w:space="0"/>
            </w:tcBorders>
            <w:shd w:val="clear" w:color="auto" w:fill="auto"/>
            <w:noWrap w:val="0"/>
            <w:vAlign w:val="center"/>
          </w:tcPr>
          <w:p>
            <w:pPr>
              <w:pStyle w:val="15"/>
              <w:widowControl/>
              <w:spacing w:line="560" w:lineRule="exact"/>
              <w:contextualSpacing/>
              <w:rPr>
                <w:rFonts w:ascii="仿宋_GB2312" w:eastAsia="仿宋_GB2312"/>
                <w:sz w:val="24"/>
                <w:szCs w:val="24"/>
              </w:rPr>
            </w:pPr>
            <w:r>
              <w:rPr>
                <w:rFonts w:hint="eastAsia" w:ascii="仿宋_GB2312" w:eastAsia="仿宋_GB2312"/>
                <w:sz w:val="24"/>
                <w:szCs w:val="24"/>
              </w:rPr>
              <w:t>万立方米</w:t>
            </w:r>
            <w:r>
              <w:rPr>
                <w:rFonts w:ascii="仿宋_GB2312" w:eastAsia="仿宋_GB2312"/>
                <w:sz w:val="24"/>
                <w:szCs w:val="24"/>
              </w:rPr>
              <w:t>/年</w:t>
            </w:r>
          </w:p>
        </w:tc>
        <w:tc>
          <w:tcPr>
            <w:tcW w:w="1531" w:type="dxa"/>
            <w:tcBorders>
              <w:top w:val="nil"/>
              <w:left w:val="nil"/>
              <w:bottom w:val="single" w:color="auto" w:sz="8" w:space="0"/>
              <w:right w:val="single" w:color="auto" w:sz="8" w:space="0"/>
            </w:tcBorders>
            <w:shd w:val="clear" w:color="auto" w:fill="auto"/>
            <w:noWrap w:val="0"/>
            <w:vAlign w:val="center"/>
          </w:tcPr>
          <w:p>
            <w:pPr>
              <w:pStyle w:val="15"/>
              <w:widowControl/>
              <w:spacing w:line="560" w:lineRule="exact"/>
              <w:contextualSpacing/>
              <w:rPr>
                <w:rFonts w:ascii="仿宋_GB2312" w:eastAsia="仿宋_GB2312"/>
                <w:sz w:val="24"/>
                <w:szCs w:val="24"/>
              </w:rPr>
            </w:pPr>
            <w:r>
              <w:rPr>
                <w:rFonts w:ascii="仿宋_GB2312" w:eastAsia="仿宋_GB2312"/>
                <w:sz w:val="24"/>
                <w:szCs w:val="24"/>
              </w:rPr>
              <w:t>10</w:t>
            </w:r>
          </w:p>
        </w:tc>
        <w:tc>
          <w:tcPr>
            <w:tcW w:w="1276" w:type="dxa"/>
            <w:tcBorders>
              <w:top w:val="nil"/>
              <w:left w:val="nil"/>
              <w:bottom w:val="single" w:color="auto" w:sz="8" w:space="0"/>
              <w:right w:val="single" w:color="auto" w:sz="8" w:space="0"/>
            </w:tcBorders>
            <w:shd w:val="clear" w:color="auto" w:fill="auto"/>
            <w:noWrap w:val="0"/>
            <w:vAlign w:val="center"/>
          </w:tcPr>
          <w:p>
            <w:pPr>
              <w:pStyle w:val="15"/>
              <w:widowControl/>
              <w:spacing w:line="560" w:lineRule="exact"/>
              <w:contextualSpacing/>
              <w:rPr>
                <w:rFonts w:ascii="仿宋_GB2312" w:eastAsia="仿宋_GB2312"/>
                <w:sz w:val="24"/>
                <w:szCs w:val="24"/>
              </w:rPr>
            </w:pPr>
            <w:r>
              <w:rPr>
                <w:rFonts w:ascii="仿宋_GB2312" w:eastAsia="仿宋_GB2312"/>
                <w:sz w:val="24"/>
                <w:szCs w:val="24"/>
              </w:rPr>
              <w:t>5</w:t>
            </w:r>
          </w:p>
        </w:tc>
        <w:tc>
          <w:tcPr>
            <w:tcW w:w="1417" w:type="dxa"/>
            <w:tcBorders>
              <w:top w:val="nil"/>
              <w:left w:val="nil"/>
              <w:bottom w:val="single" w:color="auto" w:sz="8" w:space="0"/>
              <w:right w:val="single" w:color="auto" w:sz="8" w:space="0"/>
            </w:tcBorders>
            <w:shd w:val="clear" w:color="auto" w:fill="auto"/>
            <w:noWrap w:val="0"/>
            <w:vAlign w:val="center"/>
          </w:tcPr>
          <w:p>
            <w:pPr>
              <w:pStyle w:val="15"/>
              <w:widowControl/>
              <w:spacing w:line="560" w:lineRule="exact"/>
              <w:contextualSpacing/>
              <w:rPr>
                <w:rFonts w:ascii="仿宋_GB2312" w:eastAsia="仿宋_GB2312"/>
                <w:sz w:val="24"/>
                <w:szCs w:val="24"/>
              </w:rPr>
            </w:pPr>
          </w:p>
        </w:tc>
      </w:tr>
    </w:tbl>
    <w:p>
      <w:pPr>
        <w:pStyle w:val="3"/>
        <w:spacing w:line="560" w:lineRule="exact"/>
      </w:pPr>
      <w:bookmarkStart w:id="22" w:name="_Toc106610326"/>
      <w:r>
        <w:rPr>
          <w:rFonts w:hint="eastAsia"/>
        </w:rPr>
        <w:t>第四节</w:t>
      </w:r>
      <w:r>
        <w:t xml:space="preserve"> </w:t>
      </w:r>
      <w:r>
        <w:rPr>
          <w:rFonts w:hint="eastAsia"/>
        </w:rPr>
        <w:t>节约与综合利用</w:t>
      </w:r>
      <w:bookmarkEnd w:id="22"/>
    </w:p>
    <w:p>
      <w:pPr>
        <w:spacing w:line="560" w:lineRule="exact"/>
        <w:ind w:firstLine="640"/>
        <w:contextualSpacing/>
        <w:rPr>
          <w:rFonts w:ascii="仿宋_GB2312" w:eastAsia="仿宋_GB2312"/>
          <w:sz w:val="32"/>
          <w:szCs w:val="32"/>
        </w:rPr>
      </w:pPr>
      <w:r>
        <w:rPr>
          <w:rFonts w:hint="eastAsia" w:ascii="仿宋_GB2312" w:eastAsia="仿宋_GB2312"/>
          <w:sz w:val="32"/>
          <w:szCs w:val="32"/>
        </w:rPr>
        <w:t>高效清洁利用煤炭资源。对全市</w:t>
      </w:r>
      <w:r>
        <w:rPr>
          <w:rFonts w:ascii="仿宋_GB2312" w:eastAsia="仿宋_GB2312"/>
          <w:sz w:val="32"/>
          <w:szCs w:val="32"/>
        </w:rPr>
        <w:t>14个煤炭采矿权推动精准采煤、升级改造高效燃煤设备、高效充填等措施，建设</w:t>
      </w:r>
      <w:r>
        <w:rPr>
          <w:rFonts w:hint="eastAsia" w:ascii="仿宋_GB2312" w:eastAsia="仿宋_GB2312"/>
          <w:sz w:val="32"/>
          <w:szCs w:val="32"/>
        </w:rPr>
        <w:t>开采数据可视化、开采设备智能化矿山，提高开采效率和边帮资源回收水平。对煤矸石、瓦斯等煤系伴生资源进行综合评价和利用。着力降低污染，减少碳排放，助力实现“双碳”目标。</w:t>
      </w:r>
    </w:p>
    <w:p>
      <w:pPr>
        <w:spacing w:line="560" w:lineRule="exact"/>
        <w:ind w:firstLine="640"/>
        <w:contextualSpacing/>
        <w:rPr>
          <w:rFonts w:ascii="仿宋_GB2312" w:eastAsia="仿宋_GB2312"/>
          <w:sz w:val="32"/>
          <w:szCs w:val="32"/>
        </w:rPr>
      </w:pPr>
      <w:r>
        <w:rPr>
          <w:rFonts w:hint="eastAsia" w:ascii="仿宋_GB2312" w:eastAsia="仿宋_GB2312"/>
          <w:sz w:val="32"/>
          <w:szCs w:val="32"/>
        </w:rPr>
        <w:t>提高共伴生金属综合利用水平。针对赤峰市金属矿产单一矿种少、共伴生矿种多的特点，在开发过程中，既要提高主元素回收率，又要注意综合回收共伴生组分。鼓励矿山企业针对自身矿石类型，研发、推广先进适用的金属选冶技术，加强氧化矿等典型复杂难选矿及低品位共伴生矿的选冶加工利用性能试验研究；提高尾矿再回收利用，提高企业综合效益。依托矿产资源和产业园区，建设千万钢铁、百万铜材、千亿产值和特色鲜明、生态完善、效益良好的国家重要金属冶炼深加工基地。</w:t>
      </w:r>
    </w:p>
    <w:p>
      <w:pPr>
        <w:spacing w:line="560" w:lineRule="exact"/>
        <w:ind w:firstLine="640"/>
        <w:contextualSpacing/>
        <w:rPr>
          <w:rFonts w:ascii="仿宋_GB2312" w:eastAsia="仿宋_GB2312"/>
          <w:sz w:val="32"/>
          <w:szCs w:val="32"/>
        </w:rPr>
      </w:pPr>
      <w:r>
        <w:rPr>
          <w:rFonts w:hint="eastAsia" w:ascii="仿宋_GB2312" w:eastAsia="仿宋_GB2312"/>
          <w:sz w:val="32"/>
          <w:szCs w:val="32"/>
        </w:rPr>
        <w:t>大力发展采选领域循环经济。按照“减量化、再利用、资源化”的原则，加大矿山企业发展矿产资源循环经济的支持力度。一是鼓励中小型矿山企业开展节能减排，引进先进技术和装备，淘汰落后设备和采选工艺，降低水、电和介质消耗，减少废物排放；二是鼓励金属矿山企业加强对废水、余热、余压的循环利用；三是加强有色金属、稀贵金属等城市矿产二次资源的循环利用，鼓励矿产品加工企业开展二次资源的冶炼再生回收利用。</w:t>
      </w:r>
    </w:p>
    <w:p>
      <w:pPr>
        <w:spacing w:line="560" w:lineRule="exact"/>
        <w:ind w:firstLine="640"/>
        <w:contextualSpacing/>
        <w:rPr>
          <w:rFonts w:ascii="仿宋_GB2312" w:eastAsia="仿宋_GB2312"/>
          <w:sz w:val="32"/>
          <w:szCs w:val="32"/>
        </w:rPr>
      </w:pPr>
      <w:r>
        <w:rPr>
          <w:rFonts w:hint="eastAsia" w:ascii="仿宋_GB2312" w:eastAsia="仿宋_GB2312"/>
          <w:sz w:val="32"/>
          <w:szCs w:val="32"/>
        </w:rPr>
        <w:t>严格矿山“三率”管理。新建矿山需严格按照经批准的开发利用方案“三率”要求进行建设。对“三率”已达标的矿山，加强对监督检查，鼓励技术创新和设备升级，稳定或提高其矿山“三率”水平，保证不滑坡、不退步。对“三率”未达标的矿山，按经批准的开发利用方案设计的“三率”要求，查找和排查未达标的原因，针对性的进行整改或调整工艺流程，并通过定期的考核以及监督检查，使矿山“三率”水平不断提高，尽快达到或超过国家或设计的“三率”标准，成为达标矿山。</w:t>
      </w:r>
      <w:r>
        <w:rPr>
          <w:rFonts w:ascii="仿宋_GB2312" w:eastAsia="仿宋_GB2312"/>
          <w:sz w:val="32"/>
          <w:szCs w:val="32"/>
        </w:rPr>
        <w:br w:type="page"/>
      </w:r>
    </w:p>
    <w:p>
      <w:pPr>
        <w:pStyle w:val="2"/>
        <w:rPr>
          <w:szCs w:val="32"/>
        </w:rPr>
      </w:pPr>
      <w:bookmarkStart w:id="23" w:name="_Toc106610327"/>
      <w:r>
        <w:rPr>
          <w:rFonts w:hint="eastAsia"/>
          <w:szCs w:val="32"/>
        </w:rPr>
        <w:t>第五章</w:t>
      </w:r>
      <w:r>
        <w:rPr>
          <w:szCs w:val="32"/>
        </w:rPr>
        <w:t xml:space="preserve"> </w:t>
      </w:r>
      <w:r>
        <w:rPr>
          <w:rFonts w:hint="eastAsia"/>
          <w:szCs w:val="32"/>
        </w:rPr>
        <w:t>矿业权设置区划及监督管理</w:t>
      </w:r>
      <w:bookmarkEnd w:id="23"/>
    </w:p>
    <w:p>
      <w:pPr>
        <w:pStyle w:val="3"/>
        <w:spacing w:line="560" w:lineRule="exact"/>
      </w:pPr>
      <w:bookmarkStart w:id="24" w:name="_Toc106610328"/>
      <w:r>
        <w:rPr>
          <w:rFonts w:hint="eastAsia"/>
        </w:rPr>
        <w:t>第一节</w:t>
      </w:r>
      <w:r>
        <w:t xml:space="preserve"> </w:t>
      </w:r>
      <w:r>
        <w:rPr>
          <w:rFonts w:hint="eastAsia"/>
        </w:rPr>
        <w:t>勘查规划区块</w:t>
      </w:r>
      <w:bookmarkEnd w:id="24"/>
    </w:p>
    <w:p>
      <w:pPr>
        <w:pStyle w:val="5"/>
        <w:ind w:firstLine="640"/>
        <w:rPr>
          <w:szCs w:val="32"/>
        </w:rPr>
      </w:pPr>
      <w:r>
        <w:rPr>
          <w:rFonts w:hint="eastAsia"/>
          <w:szCs w:val="32"/>
        </w:rPr>
        <w:t>一、勘查规划区块设置</w:t>
      </w:r>
    </w:p>
    <w:p>
      <w:pPr>
        <w:spacing w:line="560" w:lineRule="exact"/>
        <w:ind w:firstLine="640"/>
        <w:contextualSpacing/>
        <w:rPr>
          <w:rFonts w:ascii="仿宋_GB2312" w:eastAsia="仿宋_GB2312"/>
          <w:sz w:val="32"/>
          <w:szCs w:val="32"/>
        </w:rPr>
      </w:pPr>
      <w:r>
        <w:rPr>
          <w:rFonts w:hint="eastAsia" w:ascii="仿宋_GB2312" w:eastAsia="仿宋_GB2312"/>
          <w:sz w:val="32"/>
          <w:szCs w:val="32"/>
        </w:rPr>
        <w:t>落实上级划定的战略性矿产勘查规划区块</w:t>
      </w:r>
      <w:r>
        <w:rPr>
          <w:rFonts w:ascii="仿宋_GB2312" w:eastAsia="仿宋_GB2312"/>
          <w:sz w:val="32"/>
          <w:szCs w:val="32"/>
        </w:rPr>
        <w:t>66个，总面积1270.13平方千米。根据区域矿产特征、地质工作程度、找矿潜力等因素，在具有一定找矿线索的区域划定市本级勘查规划区块68个，总面积866.44</w:t>
      </w:r>
      <w:r>
        <w:rPr>
          <w:rFonts w:hint="eastAsia" w:ascii="仿宋_GB2312" w:eastAsia="仿宋_GB2312"/>
          <w:sz w:val="32"/>
          <w:szCs w:val="32"/>
        </w:rPr>
        <w:t>平方千米，全部为空白区新设，矿种为地热、铅、锌、银、膨润土、珍珠岩等</w:t>
      </w:r>
      <w:r>
        <w:rPr>
          <w:rFonts w:ascii="仿宋_GB2312" w:eastAsia="仿宋_GB2312"/>
          <w:sz w:val="32"/>
          <w:szCs w:val="32"/>
        </w:rPr>
        <w:t>19种非战略性矿产。</w:t>
      </w:r>
    </w:p>
    <w:p>
      <w:pPr>
        <w:spacing w:line="560" w:lineRule="exact"/>
        <w:ind w:firstLine="640"/>
        <w:contextualSpacing/>
        <w:rPr>
          <w:rFonts w:ascii="仿宋_GB2312" w:eastAsia="仿宋_GB2312"/>
          <w:sz w:val="32"/>
          <w:szCs w:val="32"/>
        </w:rPr>
      </w:pPr>
    </w:p>
    <w:p>
      <w:pPr>
        <w:pStyle w:val="14"/>
        <w:spacing w:line="560" w:lineRule="exact"/>
        <w:contextualSpacing/>
        <w:rPr>
          <w:rFonts w:ascii="黑体" w:hAnsi="黑体" w:eastAsia="黑体"/>
          <w:sz w:val="24"/>
          <w:szCs w:val="24"/>
        </w:rPr>
      </w:pPr>
      <w:r>
        <w:rPr>
          <w:rFonts w:hint="eastAsia" w:ascii="黑体" w:hAnsi="黑体" w:eastAsia="黑体"/>
          <w:sz w:val="24"/>
          <w:szCs w:val="24"/>
        </w:rPr>
        <w:t>专栏</w:t>
      </w:r>
      <w:r>
        <w:rPr>
          <w:rFonts w:ascii="黑体" w:hAnsi="黑体" w:eastAsia="黑体"/>
          <w:sz w:val="24"/>
          <w:szCs w:val="24"/>
        </w:rPr>
        <w:t xml:space="preserve">9 </w:t>
      </w:r>
      <w:r>
        <w:rPr>
          <w:rFonts w:hint="eastAsia" w:ascii="黑体" w:hAnsi="黑体" w:eastAsia="黑体"/>
          <w:sz w:val="24"/>
          <w:szCs w:val="24"/>
        </w:rPr>
        <w:t>赤峰市划定勘查规划区块</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3"/>
        <w:gridCol w:w="2401"/>
        <w:gridCol w:w="2038"/>
        <w:gridCol w:w="3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577" w:type="pct"/>
            <w:shd w:val="clear" w:color="auto" w:fill="auto"/>
            <w:noWrap w:val="0"/>
            <w:vAlign w:val="center"/>
          </w:tcPr>
          <w:p>
            <w:pPr>
              <w:pStyle w:val="14"/>
              <w:spacing w:line="560" w:lineRule="exact"/>
              <w:contextualSpacing/>
              <w:rPr>
                <w:rFonts w:ascii="黑体" w:hAnsi="黑体" w:eastAsia="黑体"/>
                <w:color w:val="000000"/>
                <w:sz w:val="24"/>
                <w:szCs w:val="24"/>
              </w:rPr>
            </w:pPr>
            <w:r>
              <w:rPr>
                <w:rFonts w:hint="eastAsia" w:ascii="黑体" w:hAnsi="黑体" w:eastAsia="黑体"/>
                <w:color w:val="000000"/>
                <w:sz w:val="24"/>
                <w:szCs w:val="24"/>
              </w:rPr>
              <w:t>序号</w:t>
            </w:r>
          </w:p>
        </w:tc>
        <w:tc>
          <w:tcPr>
            <w:tcW w:w="1409" w:type="pct"/>
            <w:shd w:val="clear" w:color="auto" w:fill="auto"/>
            <w:noWrap w:val="0"/>
            <w:vAlign w:val="center"/>
          </w:tcPr>
          <w:p>
            <w:pPr>
              <w:pStyle w:val="14"/>
              <w:spacing w:line="560" w:lineRule="exact"/>
              <w:contextualSpacing/>
              <w:rPr>
                <w:rFonts w:ascii="黑体" w:hAnsi="黑体" w:eastAsia="黑体"/>
                <w:color w:val="000000"/>
                <w:sz w:val="24"/>
                <w:szCs w:val="24"/>
              </w:rPr>
            </w:pPr>
            <w:r>
              <w:rPr>
                <w:rFonts w:hint="eastAsia" w:ascii="黑体" w:hAnsi="黑体" w:eastAsia="黑体"/>
                <w:color w:val="000000"/>
                <w:sz w:val="24"/>
                <w:szCs w:val="24"/>
              </w:rPr>
              <w:t>矿种</w:t>
            </w:r>
          </w:p>
        </w:tc>
        <w:tc>
          <w:tcPr>
            <w:tcW w:w="1196" w:type="pct"/>
            <w:shd w:val="clear" w:color="auto" w:fill="auto"/>
            <w:noWrap w:val="0"/>
            <w:vAlign w:val="center"/>
          </w:tcPr>
          <w:p>
            <w:pPr>
              <w:pStyle w:val="14"/>
              <w:spacing w:line="560" w:lineRule="exact"/>
              <w:contextualSpacing/>
              <w:rPr>
                <w:rFonts w:ascii="黑体" w:hAnsi="黑体" w:eastAsia="黑体"/>
                <w:color w:val="000000"/>
                <w:sz w:val="24"/>
                <w:szCs w:val="24"/>
              </w:rPr>
            </w:pPr>
            <w:r>
              <w:rPr>
                <w:rFonts w:hint="eastAsia" w:ascii="黑体" w:hAnsi="黑体" w:eastAsia="黑体"/>
                <w:color w:val="000000"/>
                <w:sz w:val="24"/>
                <w:szCs w:val="24"/>
              </w:rPr>
              <w:t>数量（个）</w:t>
            </w:r>
          </w:p>
        </w:tc>
        <w:tc>
          <w:tcPr>
            <w:tcW w:w="1818" w:type="pct"/>
            <w:shd w:val="clear" w:color="auto" w:fill="auto"/>
            <w:noWrap w:val="0"/>
            <w:vAlign w:val="center"/>
          </w:tcPr>
          <w:p>
            <w:pPr>
              <w:pStyle w:val="14"/>
              <w:spacing w:line="560" w:lineRule="exact"/>
              <w:contextualSpacing/>
              <w:rPr>
                <w:rFonts w:ascii="黑体" w:hAnsi="黑体" w:eastAsia="黑体"/>
                <w:color w:val="000000"/>
                <w:sz w:val="24"/>
                <w:szCs w:val="24"/>
              </w:rPr>
            </w:pPr>
            <w:r>
              <w:rPr>
                <w:rFonts w:hint="eastAsia" w:ascii="黑体" w:hAnsi="黑体" w:eastAsia="黑体"/>
                <w:color w:val="000000"/>
                <w:sz w:val="24"/>
                <w:szCs w:val="24"/>
              </w:rPr>
              <w:t>面积（平方千米）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7" w:type="pct"/>
            <w:shd w:val="clear" w:color="auto" w:fill="auto"/>
            <w:noWrap w:val="0"/>
            <w:vAlign w:val="center"/>
          </w:tcPr>
          <w:p>
            <w:pPr>
              <w:pStyle w:val="14"/>
              <w:spacing w:line="560" w:lineRule="exact"/>
              <w:contextualSpacing/>
              <w:rPr>
                <w:rFonts w:ascii="仿宋_GB2312" w:hAnsi="宋体" w:eastAsia="仿宋_GB2312"/>
                <w:color w:val="000000"/>
                <w:sz w:val="24"/>
                <w:szCs w:val="24"/>
              </w:rPr>
            </w:pPr>
            <w:r>
              <w:rPr>
                <w:rFonts w:ascii="仿宋_GB2312" w:hAnsi="宋体" w:eastAsia="仿宋_GB2312"/>
                <w:color w:val="000000"/>
                <w:sz w:val="24"/>
                <w:szCs w:val="24"/>
              </w:rPr>
              <w:t>1</w:t>
            </w:r>
          </w:p>
        </w:tc>
        <w:tc>
          <w:tcPr>
            <w:tcW w:w="1409" w:type="pct"/>
            <w:shd w:val="clear" w:color="auto" w:fill="auto"/>
            <w:noWrap w:val="0"/>
            <w:vAlign w:val="center"/>
          </w:tcPr>
          <w:p>
            <w:pPr>
              <w:pStyle w:val="14"/>
              <w:spacing w:line="560" w:lineRule="exact"/>
              <w:contextualSpacing/>
              <w:rPr>
                <w:rFonts w:ascii="仿宋_GB2312" w:hAnsi="宋体" w:eastAsia="仿宋_GB2312"/>
                <w:color w:val="000000"/>
                <w:sz w:val="24"/>
                <w:szCs w:val="24"/>
              </w:rPr>
            </w:pPr>
            <w:r>
              <w:rPr>
                <w:rFonts w:hint="eastAsia" w:ascii="仿宋_GB2312" w:hAnsi="宋体" w:eastAsia="仿宋_GB2312"/>
                <w:color w:val="000000"/>
                <w:sz w:val="24"/>
                <w:szCs w:val="24"/>
              </w:rPr>
              <w:t>地热</w:t>
            </w:r>
          </w:p>
        </w:tc>
        <w:tc>
          <w:tcPr>
            <w:tcW w:w="1196" w:type="pct"/>
            <w:shd w:val="clear" w:color="auto" w:fill="auto"/>
            <w:noWrap w:val="0"/>
            <w:vAlign w:val="center"/>
          </w:tcPr>
          <w:p>
            <w:pPr>
              <w:pStyle w:val="14"/>
              <w:spacing w:line="560" w:lineRule="exact"/>
              <w:contextualSpacing/>
              <w:rPr>
                <w:rFonts w:ascii="仿宋_GB2312" w:hAnsi="宋体" w:eastAsia="仿宋_GB2312"/>
                <w:color w:val="000000"/>
                <w:sz w:val="24"/>
                <w:szCs w:val="24"/>
              </w:rPr>
            </w:pPr>
            <w:r>
              <w:rPr>
                <w:rFonts w:ascii="仿宋_GB2312" w:hAnsi="宋体" w:eastAsia="仿宋_GB2312"/>
                <w:color w:val="000000"/>
                <w:sz w:val="24"/>
                <w:szCs w:val="24"/>
              </w:rPr>
              <w:t>3</w:t>
            </w:r>
          </w:p>
        </w:tc>
        <w:tc>
          <w:tcPr>
            <w:tcW w:w="1818" w:type="pct"/>
            <w:shd w:val="clear" w:color="auto" w:fill="auto"/>
            <w:noWrap w:val="0"/>
            <w:vAlign w:val="center"/>
          </w:tcPr>
          <w:p>
            <w:pPr>
              <w:pStyle w:val="14"/>
              <w:spacing w:line="560" w:lineRule="exact"/>
              <w:contextualSpacing/>
              <w:rPr>
                <w:rFonts w:ascii="仿宋_GB2312" w:hAnsi="宋体" w:eastAsia="仿宋_GB2312"/>
                <w:color w:val="000000"/>
                <w:sz w:val="24"/>
                <w:szCs w:val="24"/>
              </w:rPr>
            </w:pPr>
            <w:r>
              <w:rPr>
                <w:rFonts w:ascii="仿宋_GB2312" w:hAnsi="宋体" w:eastAsia="仿宋_GB2312"/>
                <w:color w:val="000000"/>
                <w:sz w:val="24"/>
                <w:szCs w:val="24"/>
              </w:rPr>
              <w:t>38.48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7" w:type="pct"/>
            <w:shd w:val="clear" w:color="auto" w:fill="auto"/>
            <w:noWrap w:val="0"/>
            <w:vAlign w:val="center"/>
          </w:tcPr>
          <w:p>
            <w:pPr>
              <w:pStyle w:val="14"/>
              <w:spacing w:line="560" w:lineRule="exact"/>
              <w:contextualSpacing/>
              <w:rPr>
                <w:rFonts w:ascii="仿宋_GB2312" w:hAnsi="宋体" w:eastAsia="仿宋_GB2312"/>
                <w:color w:val="000000"/>
                <w:sz w:val="24"/>
                <w:szCs w:val="24"/>
              </w:rPr>
            </w:pPr>
            <w:r>
              <w:rPr>
                <w:rFonts w:ascii="仿宋_GB2312" w:hAnsi="宋体" w:eastAsia="仿宋_GB2312"/>
                <w:color w:val="000000"/>
                <w:sz w:val="24"/>
                <w:szCs w:val="24"/>
              </w:rPr>
              <w:t>2</w:t>
            </w:r>
          </w:p>
        </w:tc>
        <w:tc>
          <w:tcPr>
            <w:tcW w:w="1409" w:type="pct"/>
            <w:shd w:val="clear" w:color="auto" w:fill="auto"/>
            <w:noWrap w:val="0"/>
            <w:vAlign w:val="center"/>
          </w:tcPr>
          <w:p>
            <w:pPr>
              <w:pStyle w:val="14"/>
              <w:spacing w:line="560" w:lineRule="exact"/>
              <w:contextualSpacing/>
              <w:rPr>
                <w:rFonts w:ascii="仿宋_GB2312" w:hAnsi="宋体" w:eastAsia="仿宋_GB2312"/>
                <w:color w:val="000000"/>
                <w:sz w:val="24"/>
                <w:szCs w:val="24"/>
              </w:rPr>
            </w:pPr>
            <w:r>
              <w:rPr>
                <w:rFonts w:hint="eastAsia" w:ascii="仿宋_GB2312" w:hAnsi="宋体" w:eastAsia="仿宋_GB2312"/>
                <w:color w:val="000000"/>
                <w:sz w:val="24"/>
                <w:szCs w:val="24"/>
              </w:rPr>
              <w:t>锌</w:t>
            </w:r>
          </w:p>
        </w:tc>
        <w:tc>
          <w:tcPr>
            <w:tcW w:w="1196" w:type="pct"/>
            <w:shd w:val="clear" w:color="auto" w:fill="auto"/>
            <w:noWrap w:val="0"/>
            <w:vAlign w:val="center"/>
          </w:tcPr>
          <w:p>
            <w:pPr>
              <w:pStyle w:val="14"/>
              <w:spacing w:line="560" w:lineRule="exact"/>
              <w:contextualSpacing/>
              <w:rPr>
                <w:rFonts w:ascii="仿宋_GB2312" w:hAnsi="宋体" w:eastAsia="仿宋_GB2312"/>
                <w:color w:val="000000"/>
                <w:sz w:val="24"/>
                <w:szCs w:val="24"/>
              </w:rPr>
            </w:pPr>
            <w:r>
              <w:rPr>
                <w:rFonts w:ascii="仿宋_GB2312" w:hAnsi="宋体" w:eastAsia="仿宋_GB2312"/>
                <w:color w:val="000000"/>
                <w:sz w:val="24"/>
                <w:szCs w:val="24"/>
              </w:rPr>
              <w:t>1</w:t>
            </w:r>
          </w:p>
        </w:tc>
        <w:tc>
          <w:tcPr>
            <w:tcW w:w="1818" w:type="pct"/>
            <w:shd w:val="clear" w:color="auto" w:fill="auto"/>
            <w:noWrap w:val="0"/>
            <w:vAlign w:val="center"/>
          </w:tcPr>
          <w:p>
            <w:pPr>
              <w:pStyle w:val="14"/>
              <w:spacing w:line="560" w:lineRule="exact"/>
              <w:contextualSpacing/>
              <w:rPr>
                <w:rFonts w:ascii="仿宋_GB2312" w:hAnsi="宋体" w:eastAsia="仿宋_GB2312"/>
                <w:color w:val="000000"/>
                <w:sz w:val="24"/>
                <w:szCs w:val="24"/>
              </w:rPr>
            </w:pPr>
            <w:r>
              <w:rPr>
                <w:rFonts w:ascii="仿宋_GB2312" w:hAnsi="宋体" w:eastAsia="仿宋_GB2312"/>
                <w:color w:val="000000"/>
                <w:sz w:val="24"/>
                <w:szCs w:val="24"/>
              </w:rPr>
              <w:t>37.88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7" w:type="pct"/>
            <w:shd w:val="clear" w:color="auto" w:fill="auto"/>
            <w:noWrap w:val="0"/>
            <w:vAlign w:val="center"/>
          </w:tcPr>
          <w:p>
            <w:pPr>
              <w:pStyle w:val="14"/>
              <w:spacing w:line="560" w:lineRule="exact"/>
              <w:contextualSpacing/>
              <w:rPr>
                <w:rFonts w:ascii="仿宋_GB2312" w:hAnsi="宋体" w:eastAsia="仿宋_GB2312"/>
                <w:color w:val="000000"/>
                <w:sz w:val="24"/>
                <w:szCs w:val="24"/>
              </w:rPr>
            </w:pPr>
            <w:r>
              <w:rPr>
                <w:rFonts w:ascii="仿宋_GB2312" w:hAnsi="宋体" w:eastAsia="仿宋_GB2312"/>
                <w:color w:val="000000"/>
                <w:sz w:val="24"/>
                <w:szCs w:val="24"/>
              </w:rPr>
              <w:t>3</w:t>
            </w:r>
          </w:p>
        </w:tc>
        <w:tc>
          <w:tcPr>
            <w:tcW w:w="1409" w:type="pct"/>
            <w:shd w:val="clear" w:color="auto" w:fill="auto"/>
            <w:noWrap w:val="0"/>
            <w:vAlign w:val="center"/>
          </w:tcPr>
          <w:p>
            <w:pPr>
              <w:pStyle w:val="14"/>
              <w:spacing w:line="560" w:lineRule="exact"/>
              <w:contextualSpacing/>
              <w:rPr>
                <w:rFonts w:ascii="仿宋_GB2312" w:hAnsi="宋体" w:eastAsia="仿宋_GB2312"/>
                <w:color w:val="000000"/>
                <w:sz w:val="24"/>
                <w:szCs w:val="24"/>
              </w:rPr>
            </w:pPr>
            <w:r>
              <w:rPr>
                <w:rFonts w:hint="eastAsia" w:ascii="仿宋_GB2312" w:hAnsi="宋体" w:eastAsia="仿宋_GB2312"/>
                <w:color w:val="000000"/>
                <w:sz w:val="24"/>
                <w:szCs w:val="24"/>
              </w:rPr>
              <w:t>铅</w:t>
            </w:r>
          </w:p>
        </w:tc>
        <w:tc>
          <w:tcPr>
            <w:tcW w:w="1196" w:type="pct"/>
            <w:shd w:val="clear" w:color="auto" w:fill="auto"/>
            <w:noWrap w:val="0"/>
            <w:vAlign w:val="center"/>
          </w:tcPr>
          <w:p>
            <w:pPr>
              <w:pStyle w:val="14"/>
              <w:spacing w:line="560" w:lineRule="exact"/>
              <w:contextualSpacing/>
              <w:rPr>
                <w:rFonts w:ascii="仿宋_GB2312" w:hAnsi="宋体" w:eastAsia="仿宋_GB2312"/>
                <w:color w:val="000000"/>
                <w:sz w:val="24"/>
                <w:szCs w:val="24"/>
              </w:rPr>
            </w:pPr>
            <w:r>
              <w:rPr>
                <w:rFonts w:ascii="仿宋_GB2312" w:hAnsi="宋体" w:eastAsia="仿宋_GB2312"/>
                <w:color w:val="000000"/>
                <w:sz w:val="24"/>
                <w:szCs w:val="24"/>
              </w:rPr>
              <w:t>17</w:t>
            </w:r>
          </w:p>
        </w:tc>
        <w:tc>
          <w:tcPr>
            <w:tcW w:w="1818" w:type="pct"/>
            <w:shd w:val="clear" w:color="auto" w:fill="auto"/>
            <w:noWrap w:val="0"/>
            <w:vAlign w:val="center"/>
          </w:tcPr>
          <w:p>
            <w:pPr>
              <w:pStyle w:val="14"/>
              <w:spacing w:line="560" w:lineRule="exact"/>
              <w:contextualSpacing/>
              <w:rPr>
                <w:rFonts w:ascii="仿宋_GB2312" w:hAnsi="宋体" w:eastAsia="仿宋_GB2312"/>
                <w:color w:val="000000"/>
                <w:sz w:val="24"/>
                <w:szCs w:val="24"/>
              </w:rPr>
            </w:pPr>
            <w:r>
              <w:rPr>
                <w:rFonts w:ascii="仿宋_GB2312" w:hAnsi="宋体" w:eastAsia="仿宋_GB2312"/>
                <w:color w:val="000000"/>
                <w:sz w:val="24"/>
                <w:szCs w:val="24"/>
              </w:rPr>
              <w:t>275.84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7" w:type="pct"/>
            <w:shd w:val="clear" w:color="auto" w:fill="auto"/>
            <w:noWrap w:val="0"/>
            <w:vAlign w:val="center"/>
          </w:tcPr>
          <w:p>
            <w:pPr>
              <w:pStyle w:val="14"/>
              <w:spacing w:line="560" w:lineRule="exact"/>
              <w:contextualSpacing/>
              <w:rPr>
                <w:rFonts w:ascii="仿宋_GB2312" w:hAnsi="宋体" w:eastAsia="仿宋_GB2312"/>
                <w:color w:val="000000"/>
                <w:sz w:val="24"/>
                <w:szCs w:val="24"/>
              </w:rPr>
            </w:pPr>
            <w:r>
              <w:rPr>
                <w:rFonts w:ascii="仿宋_GB2312" w:hAnsi="宋体" w:eastAsia="仿宋_GB2312"/>
                <w:color w:val="000000"/>
                <w:sz w:val="24"/>
                <w:szCs w:val="24"/>
              </w:rPr>
              <w:t>4</w:t>
            </w:r>
          </w:p>
        </w:tc>
        <w:tc>
          <w:tcPr>
            <w:tcW w:w="1409" w:type="pct"/>
            <w:shd w:val="clear" w:color="auto" w:fill="auto"/>
            <w:noWrap w:val="0"/>
            <w:vAlign w:val="center"/>
          </w:tcPr>
          <w:p>
            <w:pPr>
              <w:pStyle w:val="14"/>
              <w:spacing w:line="560" w:lineRule="exact"/>
              <w:contextualSpacing/>
              <w:rPr>
                <w:rFonts w:ascii="仿宋_GB2312" w:hAnsi="宋体" w:eastAsia="仿宋_GB2312"/>
                <w:color w:val="000000"/>
                <w:sz w:val="24"/>
                <w:szCs w:val="24"/>
              </w:rPr>
            </w:pPr>
            <w:r>
              <w:rPr>
                <w:rFonts w:hint="eastAsia" w:ascii="仿宋_GB2312" w:hAnsi="宋体" w:eastAsia="仿宋_GB2312"/>
                <w:color w:val="000000"/>
                <w:sz w:val="24"/>
                <w:szCs w:val="24"/>
              </w:rPr>
              <w:t>铅锌多金属</w:t>
            </w:r>
          </w:p>
        </w:tc>
        <w:tc>
          <w:tcPr>
            <w:tcW w:w="1196" w:type="pct"/>
            <w:shd w:val="clear" w:color="auto" w:fill="auto"/>
            <w:noWrap w:val="0"/>
            <w:vAlign w:val="center"/>
          </w:tcPr>
          <w:p>
            <w:pPr>
              <w:pStyle w:val="14"/>
              <w:spacing w:line="560" w:lineRule="exact"/>
              <w:contextualSpacing/>
              <w:rPr>
                <w:rFonts w:ascii="仿宋_GB2312" w:hAnsi="宋体" w:eastAsia="仿宋_GB2312"/>
                <w:color w:val="000000"/>
                <w:sz w:val="24"/>
                <w:szCs w:val="24"/>
              </w:rPr>
            </w:pPr>
            <w:r>
              <w:rPr>
                <w:rFonts w:ascii="仿宋_GB2312" w:hAnsi="宋体" w:eastAsia="仿宋_GB2312"/>
                <w:color w:val="000000"/>
                <w:sz w:val="24"/>
                <w:szCs w:val="24"/>
              </w:rPr>
              <w:t>10</w:t>
            </w:r>
          </w:p>
        </w:tc>
        <w:tc>
          <w:tcPr>
            <w:tcW w:w="1818" w:type="pct"/>
            <w:shd w:val="clear" w:color="auto" w:fill="auto"/>
            <w:noWrap w:val="0"/>
            <w:vAlign w:val="center"/>
          </w:tcPr>
          <w:p>
            <w:pPr>
              <w:pStyle w:val="14"/>
              <w:spacing w:line="560" w:lineRule="exact"/>
              <w:contextualSpacing/>
              <w:rPr>
                <w:rFonts w:ascii="仿宋_GB2312" w:hAnsi="宋体" w:eastAsia="仿宋_GB2312"/>
                <w:color w:val="000000"/>
                <w:sz w:val="24"/>
                <w:szCs w:val="24"/>
              </w:rPr>
            </w:pPr>
            <w:r>
              <w:rPr>
                <w:rFonts w:ascii="仿宋_GB2312" w:hAnsi="宋体" w:eastAsia="仿宋_GB2312"/>
                <w:color w:val="000000"/>
                <w:sz w:val="24"/>
                <w:szCs w:val="24"/>
              </w:rPr>
              <w:t>236.48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7" w:type="pct"/>
            <w:shd w:val="clear" w:color="auto" w:fill="auto"/>
            <w:noWrap w:val="0"/>
            <w:vAlign w:val="center"/>
          </w:tcPr>
          <w:p>
            <w:pPr>
              <w:pStyle w:val="14"/>
              <w:spacing w:line="560" w:lineRule="exact"/>
              <w:contextualSpacing/>
              <w:rPr>
                <w:rFonts w:ascii="仿宋_GB2312" w:hAnsi="宋体" w:eastAsia="仿宋_GB2312"/>
                <w:color w:val="000000"/>
                <w:sz w:val="24"/>
                <w:szCs w:val="24"/>
              </w:rPr>
            </w:pPr>
            <w:r>
              <w:rPr>
                <w:rFonts w:ascii="仿宋_GB2312" w:hAnsi="宋体" w:eastAsia="仿宋_GB2312"/>
                <w:color w:val="000000"/>
                <w:sz w:val="24"/>
                <w:szCs w:val="24"/>
              </w:rPr>
              <w:t>5</w:t>
            </w:r>
          </w:p>
        </w:tc>
        <w:tc>
          <w:tcPr>
            <w:tcW w:w="1409" w:type="pct"/>
            <w:shd w:val="clear" w:color="auto" w:fill="auto"/>
            <w:noWrap w:val="0"/>
            <w:vAlign w:val="center"/>
          </w:tcPr>
          <w:p>
            <w:pPr>
              <w:pStyle w:val="14"/>
              <w:spacing w:line="560" w:lineRule="exact"/>
              <w:contextualSpacing/>
              <w:rPr>
                <w:rFonts w:ascii="仿宋_GB2312" w:hAnsi="宋体" w:eastAsia="仿宋_GB2312"/>
                <w:color w:val="000000"/>
                <w:sz w:val="24"/>
                <w:szCs w:val="24"/>
              </w:rPr>
            </w:pPr>
            <w:r>
              <w:rPr>
                <w:rFonts w:hint="eastAsia" w:ascii="仿宋_GB2312" w:hAnsi="宋体" w:eastAsia="仿宋_GB2312"/>
                <w:color w:val="000000"/>
                <w:sz w:val="24"/>
                <w:szCs w:val="24"/>
              </w:rPr>
              <w:t>银</w:t>
            </w:r>
          </w:p>
        </w:tc>
        <w:tc>
          <w:tcPr>
            <w:tcW w:w="1196" w:type="pct"/>
            <w:shd w:val="clear" w:color="auto" w:fill="auto"/>
            <w:noWrap w:val="0"/>
            <w:vAlign w:val="center"/>
          </w:tcPr>
          <w:p>
            <w:pPr>
              <w:pStyle w:val="14"/>
              <w:spacing w:line="560" w:lineRule="exact"/>
              <w:contextualSpacing/>
              <w:rPr>
                <w:rFonts w:ascii="仿宋_GB2312" w:hAnsi="宋体" w:eastAsia="仿宋_GB2312"/>
                <w:color w:val="000000"/>
                <w:sz w:val="24"/>
                <w:szCs w:val="24"/>
              </w:rPr>
            </w:pPr>
            <w:r>
              <w:rPr>
                <w:rFonts w:ascii="仿宋_GB2312" w:hAnsi="宋体" w:eastAsia="仿宋_GB2312"/>
                <w:color w:val="000000"/>
                <w:sz w:val="24"/>
                <w:szCs w:val="24"/>
              </w:rPr>
              <w:t>2</w:t>
            </w:r>
          </w:p>
        </w:tc>
        <w:tc>
          <w:tcPr>
            <w:tcW w:w="1818" w:type="pct"/>
            <w:shd w:val="clear" w:color="auto" w:fill="auto"/>
            <w:noWrap w:val="0"/>
            <w:vAlign w:val="center"/>
          </w:tcPr>
          <w:p>
            <w:pPr>
              <w:pStyle w:val="14"/>
              <w:spacing w:line="560" w:lineRule="exact"/>
              <w:contextualSpacing/>
              <w:rPr>
                <w:rFonts w:ascii="仿宋_GB2312" w:hAnsi="宋体" w:eastAsia="仿宋_GB2312"/>
                <w:color w:val="000000"/>
                <w:sz w:val="24"/>
                <w:szCs w:val="24"/>
              </w:rPr>
            </w:pPr>
            <w:r>
              <w:rPr>
                <w:rFonts w:ascii="仿宋_GB2312" w:hAnsi="宋体" w:eastAsia="仿宋_GB2312"/>
                <w:color w:val="000000"/>
                <w:sz w:val="24"/>
                <w:szCs w:val="24"/>
              </w:rPr>
              <w:t>38.74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7" w:type="pct"/>
            <w:shd w:val="clear" w:color="auto" w:fill="auto"/>
            <w:noWrap w:val="0"/>
            <w:vAlign w:val="center"/>
          </w:tcPr>
          <w:p>
            <w:pPr>
              <w:pStyle w:val="14"/>
              <w:spacing w:line="560" w:lineRule="exact"/>
              <w:contextualSpacing/>
              <w:rPr>
                <w:rFonts w:ascii="仿宋_GB2312" w:hAnsi="宋体" w:eastAsia="仿宋_GB2312"/>
                <w:color w:val="000000"/>
                <w:sz w:val="24"/>
                <w:szCs w:val="24"/>
              </w:rPr>
            </w:pPr>
            <w:r>
              <w:rPr>
                <w:rFonts w:ascii="仿宋_GB2312" w:hAnsi="宋体" w:eastAsia="仿宋_GB2312"/>
                <w:color w:val="000000"/>
                <w:sz w:val="24"/>
                <w:szCs w:val="24"/>
              </w:rPr>
              <w:t>6</w:t>
            </w:r>
          </w:p>
        </w:tc>
        <w:tc>
          <w:tcPr>
            <w:tcW w:w="1409" w:type="pct"/>
            <w:shd w:val="clear" w:color="auto" w:fill="auto"/>
            <w:noWrap w:val="0"/>
            <w:vAlign w:val="center"/>
          </w:tcPr>
          <w:p>
            <w:pPr>
              <w:pStyle w:val="14"/>
              <w:spacing w:line="560" w:lineRule="exact"/>
              <w:contextualSpacing/>
              <w:rPr>
                <w:rFonts w:ascii="仿宋_GB2312" w:hAnsi="宋体" w:eastAsia="仿宋_GB2312"/>
                <w:color w:val="000000"/>
                <w:sz w:val="24"/>
                <w:szCs w:val="24"/>
              </w:rPr>
            </w:pPr>
            <w:r>
              <w:rPr>
                <w:rFonts w:hint="eastAsia" w:ascii="仿宋_GB2312" w:hAnsi="宋体" w:eastAsia="仿宋_GB2312"/>
                <w:color w:val="000000"/>
                <w:sz w:val="24"/>
                <w:szCs w:val="24"/>
              </w:rPr>
              <w:t>银多金属</w:t>
            </w:r>
          </w:p>
        </w:tc>
        <w:tc>
          <w:tcPr>
            <w:tcW w:w="1196" w:type="pct"/>
            <w:shd w:val="clear" w:color="auto" w:fill="auto"/>
            <w:noWrap w:val="0"/>
            <w:vAlign w:val="center"/>
          </w:tcPr>
          <w:p>
            <w:pPr>
              <w:pStyle w:val="14"/>
              <w:spacing w:line="560" w:lineRule="exact"/>
              <w:contextualSpacing/>
              <w:rPr>
                <w:rFonts w:ascii="仿宋_GB2312" w:hAnsi="宋体" w:eastAsia="仿宋_GB2312"/>
                <w:color w:val="000000"/>
                <w:sz w:val="24"/>
                <w:szCs w:val="24"/>
              </w:rPr>
            </w:pPr>
            <w:r>
              <w:rPr>
                <w:rFonts w:ascii="仿宋_GB2312" w:hAnsi="宋体" w:eastAsia="仿宋_GB2312"/>
                <w:color w:val="000000"/>
                <w:sz w:val="24"/>
                <w:szCs w:val="24"/>
              </w:rPr>
              <w:t>2</w:t>
            </w:r>
          </w:p>
        </w:tc>
        <w:tc>
          <w:tcPr>
            <w:tcW w:w="1818" w:type="pct"/>
            <w:shd w:val="clear" w:color="auto" w:fill="auto"/>
            <w:noWrap w:val="0"/>
            <w:vAlign w:val="center"/>
          </w:tcPr>
          <w:p>
            <w:pPr>
              <w:pStyle w:val="14"/>
              <w:spacing w:line="560" w:lineRule="exact"/>
              <w:contextualSpacing/>
              <w:rPr>
                <w:rFonts w:ascii="仿宋_GB2312" w:hAnsi="宋体" w:eastAsia="仿宋_GB2312"/>
                <w:color w:val="000000"/>
                <w:sz w:val="24"/>
                <w:szCs w:val="24"/>
              </w:rPr>
            </w:pPr>
            <w:r>
              <w:rPr>
                <w:rFonts w:ascii="仿宋_GB2312" w:hAnsi="宋体" w:eastAsia="仿宋_GB2312"/>
                <w:color w:val="000000"/>
                <w:sz w:val="24"/>
                <w:szCs w:val="24"/>
              </w:rPr>
              <w:t>11.81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7" w:type="pct"/>
            <w:shd w:val="clear" w:color="auto" w:fill="auto"/>
            <w:noWrap w:val="0"/>
            <w:vAlign w:val="center"/>
          </w:tcPr>
          <w:p>
            <w:pPr>
              <w:pStyle w:val="14"/>
              <w:spacing w:line="560" w:lineRule="exact"/>
              <w:contextualSpacing/>
              <w:rPr>
                <w:rFonts w:ascii="仿宋_GB2312" w:hAnsi="宋体" w:eastAsia="仿宋_GB2312"/>
                <w:color w:val="000000"/>
                <w:sz w:val="24"/>
                <w:szCs w:val="24"/>
              </w:rPr>
            </w:pPr>
            <w:r>
              <w:rPr>
                <w:rFonts w:ascii="仿宋_GB2312" w:hAnsi="宋体" w:eastAsia="仿宋_GB2312"/>
                <w:color w:val="000000"/>
                <w:sz w:val="24"/>
                <w:szCs w:val="24"/>
              </w:rPr>
              <w:t>7</w:t>
            </w:r>
          </w:p>
        </w:tc>
        <w:tc>
          <w:tcPr>
            <w:tcW w:w="1409" w:type="pct"/>
            <w:shd w:val="clear" w:color="auto" w:fill="auto"/>
            <w:noWrap w:val="0"/>
            <w:vAlign w:val="center"/>
          </w:tcPr>
          <w:p>
            <w:pPr>
              <w:pStyle w:val="14"/>
              <w:spacing w:line="560" w:lineRule="exact"/>
              <w:contextualSpacing/>
              <w:rPr>
                <w:rFonts w:ascii="仿宋_GB2312" w:hAnsi="宋体" w:eastAsia="仿宋_GB2312"/>
                <w:color w:val="000000"/>
                <w:sz w:val="24"/>
                <w:szCs w:val="24"/>
              </w:rPr>
            </w:pPr>
            <w:r>
              <w:rPr>
                <w:rFonts w:hint="eastAsia" w:ascii="仿宋_GB2312" w:hAnsi="宋体" w:eastAsia="仿宋_GB2312"/>
                <w:color w:val="000000"/>
                <w:sz w:val="24"/>
                <w:szCs w:val="24"/>
              </w:rPr>
              <w:t>石灰岩</w:t>
            </w:r>
          </w:p>
        </w:tc>
        <w:tc>
          <w:tcPr>
            <w:tcW w:w="1196" w:type="pct"/>
            <w:shd w:val="clear" w:color="auto" w:fill="auto"/>
            <w:noWrap w:val="0"/>
            <w:vAlign w:val="center"/>
          </w:tcPr>
          <w:p>
            <w:pPr>
              <w:pStyle w:val="14"/>
              <w:spacing w:line="560" w:lineRule="exact"/>
              <w:contextualSpacing/>
              <w:rPr>
                <w:rFonts w:ascii="仿宋_GB2312" w:hAnsi="宋体" w:eastAsia="仿宋_GB2312"/>
                <w:color w:val="000000"/>
                <w:sz w:val="24"/>
                <w:szCs w:val="24"/>
              </w:rPr>
            </w:pPr>
            <w:r>
              <w:rPr>
                <w:rFonts w:ascii="仿宋_GB2312" w:hAnsi="宋体" w:eastAsia="仿宋_GB2312"/>
                <w:color w:val="000000"/>
                <w:sz w:val="24"/>
                <w:szCs w:val="24"/>
              </w:rPr>
              <w:t>2</w:t>
            </w:r>
          </w:p>
        </w:tc>
        <w:tc>
          <w:tcPr>
            <w:tcW w:w="1818" w:type="pct"/>
            <w:shd w:val="clear" w:color="auto" w:fill="auto"/>
            <w:noWrap w:val="0"/>
            <w:vAlign w:val="center"/>
          </w:tcPr>
          <w:p>
            <w:pPr>
              <w:pStyle w:val="14"/>
              <w:spacing w:line="560" w:lineRule="exact"/>
              <w:contextualSpacing/>
              <w:rPr>
                <w:rFonts w:ascii="仿宋_GB2312" w:hAnsi="宋体" w:eastAsia="仿宋_GB2312"/>
                <w:color w:val="000000"/>
                <w:sz w:val="24"/>
                <w:szCs w:val="24"/>
              </w:rPr>
            </w:pPr>
            <w:r>
              <w:rPr>
                <w:rFonts w:ascii="仿宋_GB2312" w:hAnsi="宋体" w:eastAsia="仿宋_GB2312"/>
                <w:color w:val="000000"/>
                <w:sz w:val="24"/>
                <w:szCs w:val="24"/>
              </w:rPr>
              <w:t>11.55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7" w:type="pct"/>
            <w:shd w:val="clear" w:color="auto" w:fill="auto"/>
            <w:noWrap w:val="0"/>
            <w:vAlign w:val="center"/>
          </w:tcPr>
          <w:p>
            <w:pPr>
              <w:pStyle w:val="14"/>
              <w:spacing w:line="560" w:lineRule="exact"/>
              <w:contextualSpacing/>
              <w:rPr>
                <w:rFonts w:ascii="仿宋_GB2312" w:hAnsi="宋体" w:eastAsia="仿宋_GB2312"/>
                <w:color w:val="000000"/>
                <w:sz w:val="24"/>
                <w:szCs w:val="24"/>
              </w:rPr>
            </w:pPr>
            <w:r>
              <w:rPr>
                <w:rFonts w:ascii="仿宋_GB2312" w:hAnsi="宋体" w:eastAsia="仿宋_GB2312"/>
                <w:color w:val="000000"/>
                <w:sz w:val="24"/>
                <w:szCs w:val="24"/>
              </w:rPr>
              <w:t>8</w:t>
            </w:r>
          </w:p>
        </w:tc>
        <w:tc>
          <w:tcPr>
            <w:tcW w:w="1409" w:type="pct"/>
            <w:shd w:val="clear" w:color="auto" w:fill="auto"/>
            <w:noWrap w:val="0"/>
            <w:vAlign w:val="center"/>
          </w:tcPr>
          <w:p>
            <w:pPr>
              <w:pStyle w:val="14"/>
              <w:spacing w:line="560" w:lineRule="exact"/>
              <w:contextualSpacing/>
              <w:rPr>
                <w:rFonts w:ascii="仿宋_GB2312" w:hAnsi="宋体" w:eastAsia="仿宋_GB2312"/>
                <w:color w:val="000000"/>
                <w:sz w:val="24"/>
                <w:szCs w:val="24"/>
              </w:rPr>
            </w:pPr>
            <w:r>
              <w:rPr>
                <w:rFonts w:hint="eastAsia" w:ascii="仿宋_GB2312" w:hAnsi="宋体" w:eastAsia="仿宋_GB2312"/>
                <w:color w:val="000000"/>
                <w:sz w:val="24"/>
                <w:szCs w:val="24"/>
              </w:rPr>
              <w:t>膨润土</w:t>
            </w:r>
          </w:p>
        </w:tc>
        <w:tc>
          <w:tcPr>
            <w:tcW w:w="1196" w:type="pct"/>
            <w:shd w:val="clear" w:color="auto" w:fill="auto"/>
            <w:noWrap w:val="0"/>
            <w:vAlign w:val="center"/>
          </w:tcPr>
          <w:p>
            <w:pPr>
              <w:pStyle w:val="14"/>
              <w:spacing w:line="560" w:lineRule="exact"/>
              <w:contextualSpacing/>
              <w:rPr>
                <w:rFonts w:ascii="仿宋_GB2312" w:hAnsi="宋体" w:eastAsia="仿宋_GB2312"/>
                <w:color w:val="000000"/>
                <w:sz w:val="24"/>
                <w:szCs w:val="24"/>
              </w:rPr>
            </w:pPr>
            <w:r>
              <w:rPr>
                <w:rFonts w:ascii="仿宋_GB2312" w:hAnsi="宋体" w:eastAsia="仿宋_GB2312"/>
                <w:color w:val="000000"/>
                <w:sz w:val="24"/>
                <w:szCs w:val="24"/>
              </w:rPr>
              <w:t>6</w:t>
            </w:r>
          </w:p>
        </w:tc>
        <w:tc>
          <w:tcPr>
            <w:tcW w:w="1818" w:type="pct"/>
            <w:shd w:val="clear" w:color="auto" w:fill="auto"/>
            <w:noWrap w:val="0"/>
            <w:vAlign w:val="center"/>
          </w:tcPr>
          <w:p>
            <w:pPr>
              <w:pStyle w:val="14"/>
              <w:spacing w:line="560" w:lineRule="exact"/>
              <w:contextualSpacing/>
              <w:rPr>
                <w:rFonts w:ascii="仿宋_GB2312" w:hAnsi="宋体" w:eastAsia="仿宋_GB2312"/>
                <w:color w:val="000000"/>
                <w:sz w:val="24"/>
                <w:szCs w:val="24"/>
              </w:rPr>
            </w:pPr>
            <w:r>
              <w:rPr>
                <w:rFonts w:ascii="仿宋_GB2312" w:hAnsi="宋体" w:eastAsia="仿宋_GB2312"/>
                <w:color w:val="000000"/>
                <w:sz w:val="24"/>
                <w:szCs w:val="24"/>
              </w:rPr>
              <w:t>63.50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7" w:type="pct"/>
            <w:shd w:val="clear" w:color="auto" w:fill="auto"/>
            <w:noWrap w:val="0"/>
            <w:vAlign w:val="center"/>
          </w:tcPr>
          <w:p>
            <w:pPr>
              <w:pStyle w:val="14"/>
              <w:spacing w:line="560" w:lineRule="exact"/>
              <w:contextualSpacing/>
              <w:rPr>
                <w:rFonts w:ascii="仿宋_GB2312" w:hAnsi="宋体" w:eastAsia="仿宋_GB2312"/>
                <w:color w:val="000000"/>
                <w:sz w:val="24"/>
                <w:szCs w:val="24"/>
              </w:rPr>
            </w:pPr>
            <w:r>
              <w:rPr>
                <w:rFonts w:ascii="仿宋_GB2312" w:hAnsi="宋体" w:eastAsia="仿宋_GB2312"/>
                <w:color w:val="000000"/>
                <w:sz w:val="24"/>
                <w:szCs w:val="24"/>
              </w:rPr>
              <w:t>9</w:t>
            </w:r>
          </w:p>
        </w:tc>
        <w:tc>
          <w:tcPr>
            <w:tcW w:w="1409" w:type="pct"/>
            <w:shd w:val="clear" w:color="auto" w:fill="auto"/>
            <w:noWrap w:val="0"/>
            <w:vAlign w:val="center"/>
          </w:tcPr>
          <w:p>
            <w:pPr>
              <w:pStyle w:val="14"/>
              <w:spacing w:line="560" w:lineRule="exact"/>
              <w:contextualSpacing/>
              <w:rPr>
                <w:rFonts w:ascii="仿宋_GB2312" w:hAnsi="宋体" w:eastAsia="仿宋_GB2312"/>
                <w:color w:val="000000"/>
                <w:sz w:val="24"/>
                <w:szCs w:val="24"/>
              </w:rPr>
            </w:pPr>
            <w:r>
              <w:rPr>
                <w:rFonts w:hint="eastAsia" w:ascii="仿宋_GB2312" w:hAnsi="宋体" w:eastAsia="仿宋_GB2312"/>
                <w:color w:val="000000"/>
                <w:sz w:val="24"/>
                <w:szCs w:val="24"/>
              </w:rPr>
              <w:t>珍珠岩</w:t>
            </w:r>
          </w:p>
        </w:tc>
        <w:tc>
          <w:tcPr>
            <w:tcW w:w="1196" w:type="pct"/>
            <w:shd w:val="clear" w:color="auto" w:fill="auto"/>
            <w:noWrap w:val="0"/>
            <w:vAlign w:val="center"/>
          </w:tcPr>
          <w:p>
            <w:pPr>
              <w:pStyle w:val="14"/>
              <w:spacing w:line="560" w:lineRule="exact"/>
              <w:contextualSpacing/>
              <w:rPr>
                <w:rFonts w:ascii="仿宋_GB2312" w:hAnsi="宋体" w:eastAsia="仿宋_GB2312"/>
                <w:color w:val="000000"/>
                <w:sz w:val="24"/>
                <w:szCs w:val="24"/>
              </w:rPr>
            </w:pPr>
            <w:r>
              <w:rPr>
                <w:rFonts w:ascii="仿宋_GB2312" w:hAnsi="宋体" w:eastAsia="仿宋_GB2312"/>
                <w:color w:val="000000"/>
                <w:sz w:val="24"/>
                <w:szCs w:val="24"/>
              </w:rPr>
              <w:t>1</w:t>
            </w:r>
          </w:p>
        </w:tc>
        <w:tc>
          <w:tcPr>
            <w:tcW w:w="1818" w:type="pct"/>
            <w:shd w:val="clear" w:color="auto" w:fill="auto"/>
            <w:noWrap w:val="0"/>
            <w:vAlign w:val="center"/>
          </w:tcPr>
          <w:p>
            <w:pPr>
              <w:pStyle w:val="14"/>
              <w:spacing w:line="560" w:lineRule="exact"/>
              <w:contextualSpacing/>
              <w:rPr>
                <w:rFonts w:ascii="仿宋_GB2312" w:hAnsi="宋体" w:eastAsia="仿宋_GB2312"/>
                <w:color w:val="000000"/>
                <w:sz w:val="24"/>
                <w:szCs w:val="24"/>
              </w:rPr>
            </w:pPr>
            <w:r>
              <w:rPr>
                <w:rFonts w:ascii="仿宋_GB2312" w:hAnsi="宋体" w:eastAsia="仿宋_GB2312"/>
                <w:color w:val="000000"/>
                <w:sz w:val="24"/>
                <w:szCs w:val="24"/>
              </w:rPr>
              <w:t>9.62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7" w:type="pct"/>
            <w:shd w:val="clear" w:color="auto" w:fill="auto"/>
            <w:noWrap w:val="0"/>
            <w:vAlign w:val="center"/>
          </w:tcPr>
          <w:p>
            <w:pPr>
              <w:pStyle w:val="14"/>
              <w:spacing w:line="560" w:lineRule="exact"/>
              <w:contextualSpacing/>
              <w:rPr>
                <w:rFonts w:ascii="仿宋_GB2312" w:hAnsi="宋体" w:eastAsia="仿宋_GB2312"/>
                <w:color w:val="000000"/>
                <w:sz w:val="24"/>
                <w:szCs w:val="24"/>
              </w:rPr>
            </w:pPr>
            <w:r>
              <w:rPr>
                <w:rFonts w:ascii="仿宋_GB2312" w:hAnsi="宋体" w:eastAsia="仿宋_GB2312"/>
                <w:color w:val="000000"/>
                <w:sz w:val="24"/>
                <w:szCs w:val="24"/>
              </w:rPr>
              <w:t>10</w:t>
            </w:r>
          </w:p>
        </w:tc>
        <w:tc>
          <w:tcPr>
            <w:tcW w:w="1409" w:type="pct"/>
            <w:shd w:val="clear" w:color="auto" w:fill="auto"/>
            <w:noWrap w:val="0"/>
            <w:vAlign w:val="center"/>
          </w:tcPr>
          <w:p>
            <w:pPr>
              <w:pStyle w:val="14"/>
              <w:spacing w:line="560" w:lineRule="exact"/>
              <w:contextualSpacing/>
              <w:rPr>
                <w:rFonts w:ascii="仿宋_GB2312" w:hAnsi="宋体" w:eastAsia="仿宋_GB2312"/>
                <w:color w:val="000000"/>
                <w:sz w:val="24"/>
                <w:szCs w:val="24"/>
              </w:rPr>
            </w:pPr>
            <w:r>
              <w:rPr>
                <w:rFonts w:hint="eastAsia" w:ascii="仿宋_GB2312" w:hAnsi="宋体" w:eastAsia="仿宋_GB2312"/>
                <w:color w:val="000000"/>
                <w:sz w:val="24"/>
                <w:szCs w:val="24"/>
              </w:rPr>
              <w:t>饰面用花岗岩</w:t>
            </w:r>
          </w:p>
        </w:tc>
        <w:tc>
          <w:tcPr>
            <w:tcW w:w="1196" w:type="pct"/>
            <w:shd w:val="clear" w:color="auto" w:fill="auto"/>
            <w:noWrap w:val="0"/>
            <w:vAlign w:val="center"/>
          </w:tcPr>
          <w:p>
            <w:pPr>
              <w:pStyle w:val="14"/>
              <w:spacing w:line="560" w:lineRule="exact"/>
              <w:contextualSpacing/>
              <w:rPr>
                <w:rFonts w:ascii="仿宋_GB2312" w:hAnsi="宋体" w:eastAsia="仿宋_GB2312"/>
                <w:color w:val="000000"/>
                <w:sz w:val="24"/>
                <w:szCs w:val="24"/>
              </w:rPr>
            </w:pPr>
            <w:r>
              <w:rPr>
                <w:rFonts w:ascii="仿宋_GB2312" w:hAnsi="宋体" w:eastAsia="仿宋_GB2312"/>
                <w:color w:val="000000"/>
                <w:sz w:val="24"/>
                <w:szCs w:val="24"/>
              </w:rPr>
              <w:t>7</w:t>
            </w:r>
          </w:p>
        </w:tc>
        <w:tc>
          <w:tcPr>
            <w:tcW w:w="1818" w:type="pct"/>
            <w:shd w:val="clear" w:color="auto" w:fill="auto"/>
            <w:noWrap w:val="0"/>
            <w:vAlign w:val="center"/>
          </w:tcPr>
          <w:p>
            <w:pPr>
              <w:pStyle w:val="14"/>
              <w:spacing w:line="560" w:lineRule="exact"/>
              <w:contextualSpacing/>
              <w:rPr>
                <w:rFonts w:ascii="仿宋_GB2312" w:hAnsi="宋体" w:eastAsia="仿宋_GB2312"/>
                <w:color w:val="000000"/>
                <w:sz w:val="24"/>
                <w:szCs w:val="24"/>
              </w:rPr>
            </w:pPr>
            <w:r>
              <w:rPr>
                <w:rFonts w:ascii="仿宋_GB2312" w:hAnsi="宋体" w:eastAsia="仿宋_GB2312"/>
                <w:color w:val="000000"/>
                <w:sz w:val="24"/>
                <w:szCs w:val="24"/>
              </w:rPr>
              <w:t>27.74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7" w:type="pct"/>
            <w:shd w:val="clear" w:color="auto" w:fill="auto"/>
            <w:noWrap w:val="0"/>
            <w:vAlign w:val="center"/>
          </w:tcPr>
          <w:p>
            <w:pPr>
              <w:pStyle w:val="14"/>
              <w:spacing w:line="560" w:lineRule="exact"/>
              <w:contextualSpacing/>
              <w:rPr>
                <w:rFonts w:ascii="仿宋_GB2312" w:hAnsi="宋体" w:eastAsia="仿宋_GB2312"/>
                <w:color w:val="000000"/>
                <w:sz w:val="24"/>
                <w:szCs w:val="24"/>
              </w:rPr>
            </w:pPr>
            <w:r>
              <w:rPr>
                <w:rFonts w:ascii="仿宋_GB2312" w:hAnsi="宋体" w:eastAsia="仿宋_GB2312"/>
                <w:color w:val="000000"/>
                <w:sz w:val="24"/>
                <w:szCs w:val="24"/>
              </w:rPr>
              <w:t>11</w:t>
            </w:r>
          </w:p>
        </w:tc>
        <w:tc>
          <w:tcPr>
            <w:tcW w:w="1409" w:type="pct"/>
            <w:shd w:val="clear" w:color="auto" w:fill="auto"/>
            <w:noWrap w:val="0"/>
            <w:vAlign w:val="center"/>
          </w:tcPr>
          <w:p>
            <w:pPr>
              <w:pStyle w:val="14"/>
              <w:spacing w:line="560" w:lineRule="exact"/>
              <w:contextualSpacing/>
              <w:rPr>
                <w:rFonts w:ascii="仿宋_GB2312" w:hAnsi="宋体" w:eastAsia="仿宋_GB2312"/>
                <w:color w:val="000000"/>
                <w:sz w:val="24"/>
                <w:szCs w:val="24"/>
              </w:rPr>
            </w:pPr>
            <w:r>
              <w:rPr>
                <w:rFonts w:hint="eastAsia" w:ascii="仿宋_GB2312" w:hAnsi="宋体" w:eastAsia="仿宋_GB2312"/>
                <w:color w:val="000000"/>
                <w:sz w:val="24"/>
                <w:szCs w:val="24"/>
              </w:rPr>
              <w:t>饰面用玄武岩</w:t>
            </w:r>
          </w:p>
        </w:tc>
        <w:tc>
          <w:tcPr>
            <w:tcW w:w="1196" w:type="pct"/>
            <w:shd w:val="clear" w:color="auto" w:fill="auto"/>
            <w:noWrap w:val="0"/>
            <w:vAlign w:val="center"/>
          </w:tcPr>
          <w:p>
            <w:pPr>
              <w:pStyle w:val="14"/>
              <w:spacing w:line="560" w:lineRule="exact"/>
              <w:contextualSpacing/>
              <w:rPr>
                <w:rFonts w:ascii="仿宋_GB2312" w:hAnsi="宋体" w:eastAsia="仿宋_GB2312"/>
                <w:color w:val="000000"/>
                <w:sz w:val="24"/>
                <w:szCs w:val="24"/>
              </w:rPr>
            </w:pPr>
            <w:r>
              <w:rPr>
                <w:rFonts w:ascii="仿宋_GB2312" w:hAnsi="宋体" w:eastAsia="仿宋_GB2312"/>
                <w:color w:val="000000"/>
                <w:sz w:val="24"/>
                <w:szCs w:val="24"/>
              </w:rPr>
              <w:t>2</w:t>
            </w:r>
          </w:p>
        </w:tc>
        <w:tc>
          <w:tcPr>
            <w:tcW w:w="1818" w:type="pct"/>
            <w:shd w:val="clear" w:color="auto" w:fill="auto"/>
            <w:noWrap w:val="0"/>
            <w:vAlign w:val="center"/>
          </w:tcPr>
          <w:p>
            <w:pPr>
              <w:pStyle w:val="14"/>
              <w:spacing w:line="560" w:lineRule="exact"/>
              <w:contextualSpacing/>
              <w:rPr>
                <w:rFonts w:ascii="仿宋_GB2312" w:hAnsi="宋体" w:eastAsia="仿宋_GB2312"/>
                <w:color w:val="000000"/>
                <w:sz w:val="24"/>
                <w:szCs w:val="24"/>
              </w:rPr>
            </w:pPr>
            <w:r>
              <w:rPr>
                <w:rFonts w:ascii="仿宋_GB2312" w:hAnsi="宋体" w:eastAsia="仿宋_GB2312"/>
                <w:color w:val="000000"/>
                <w:sz w:val="24"/>
                <w:szCs w:val="24"/>
              </w:rPr>
              <w:t>8.01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7" w:type="pct"/>
            <w:shd w:val="clear" w:color="auto" w:fill="auto"/>
            <w:noWrap w:val="0"/>
            <w:vAlign w:val="center"/>
          </w:tcPr>
          <w:p>
            <w:pPr>
              <w:pStyle w:val="14"/>
              <w:spacing w:line="560" w:lineRule="exact"/>
              <w:contextualSpacing/>
              <w:rPr>
                <w:rFonts w:ascii="仿宋_GB2312" w:hAnsi="宋体" w:eastAsia="仿宋_GB2312"/>
                <w:color w:val="000000"/>
                <w:sz w:val="24"/>
                <w:szCs w:val="24"/>
              </w:rPr>
            </w:pPr>
            <w:r>
              <w:rPr>
                <w:rFonts w:ascii="仿宋_GB2312" w:hAnsi="宋体" w:eastAsia="仿宋_GB2312"/>
                <w:color w:val="000000"/>
                <w:sz w:val="24"/>
                <w:szCs w:val="24"/>
              </w:rPr>
              <w:t>12</w:t>
            </w:r>
          </w:p>
        </w:tc>
        <w:tc>
          <w:tcPr>
            <w:tcW w:w="1409" w:type="pct"/>
            <w:shd w:val="clear" w:color="auto" w:fill="auto"/>
            <w:noWrap w:val="0"/>
            <w:vAlign w:val="center"/>
          </w:tcPr>
          <w:p>
            <w:pPr>
              <w:pStyle w:val="14"/>
              <w:spacing w:line="560" w:lineRule="exact"/>
              <w:contextualSpacing/>
              <w:rPr>
                <w:rFonts w:ascii="仿宋_GB2312" w:hAnsi="宋体" w:eastAsia="仿宋_GB2312"/>
                <w:color w:val="000000"/>
                <w:sz w:val="24"/>
                <w:szCs w:val="24"/>
              </w:rPr>
            </w:pPr>
            <w:r>
              <w:rPr>
                <w:rFonts w:hint="eastAsia" w:ascii="仿宋_GB2312" w:hAnsi="宋体" w:eastAsia="仿宋_GB2312"/>
                <w:color w:val="000000"/>
                <w:sz w:val="24"/>
                <w:szCs w:val="24"/>
              </w:rPr>
              <w:t>凝灰岩矿</w:t>
            </w:r>
          </w:p>
        </w:tc>
        <w:tc>
          <w:tcPr>
            <w:tcW w:w="1196" w:type="pct"/>
            <w:shd w:val="clear" w:color="auto" w:fill="auto"/>
            <w:noWrap w:val="0"/>
            <w:vAlign w:val="center"/>
          </w:tcPr>
          <w:p>
            <w:pPr>
              <w:pStyle w:val="14"/>
              <w:spacing w:line="560" w:lineRule="exact"/>
              <w:contextualSpacing/>
              <w:rPr>
                <w:rFonts w:ascii="仿宋_GB2312" w:hAnsi="宋体" w:eastAsia="仿宋_GB2312"/>
                <w:color w:val="000000"/>
                <w:sz w:val="24"/>
                <w:szCs w:val="24"/>
              </w:rPr>
            </w:pPr>
            <w:r>
              <w:rPr>
                <w:rFonts w:ascii="仿宋_GB2312" w:hAnsi="宋体" w:eastAsia="仿宋_GB2312"/>
                <w:color w:val="000000"/>
                <w:sz w:val="24"/>
                <w:szCs w:val="24"/>
              </w:rPr>
              <w:t>1</w:t>
            </w:r>
          </w:p>
        </w:tc>
        <w:tc>
          <w:tcPr>
            <w:tcW w:w="1818" w:type="pct"/>
            <w:shd w:val="clear" w:color="auto" w:fill="auto"/>
            <w:noWrap w:val="0"/>
            <w:vAlign w:val="center"/>
          </w:tcPr>
          <w:p>
            <w:pPr>
              <w:pStyle w:val="14"/>
              <w:spacing w:line="560" w:lineRule="exact"/>
              <w:contextualSpacing/>
              <w:rPr>
                <w:rFonts w:ascii="仿宋_GB2312" w:hAnsi="宋体" w:eastAsia="仿宋_GB2312"/>
                <w:color w:val="000000"/>
                <w:sz w:val="24"/>
                <w:szCs w:val="24"/>
              </w:rPr>
            </w:pPr>
            <w:r>
              <w:rPr>
                <w:rFonts w:ascii="仿宋_GB2312" w:hAnsi="宋体" w:eastAsia="仿宋_GB2312"/>
                <w:color w:val="000000"/>
                <w:sz w:val="24"/>
                <w:szCs w:val="24"/>
              </w:rPr>
              <w:t>3.41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7" w:type="pct"/>
            <w:shd w:val="clear" w:color="auto" w:fill="auto"/>
            <w:noWrap w:val="0"/>
            <w:vAlign w:val="center"/>
          </w:tcPr>
          <w:p>
            <w:pPr>
              <w:pStyle w:val="14"/>
              <w:spacing w:line="560" w:lineRule="exact"/>
              <w:contextualSpacing/>
              <w:rPr>
                <w:rFonts w:ascii="仿宋_GB2312" w:hAnsi="宋体" w:eastAsia="仿宋_GB2312"/>
                <w:color w:val="000000"/>
                <w:sz w:val="24"/>
                <w:szCs w:val="24"/>
              </w:rPr>
            </w:pPr>
            <w:r>
              <w:rPr>
                <w:rFonts w:ascii="仿宋_GB2312" w:hAnsi="宋体" w:eastAsia="仿宋_GB2312"/>
                <w:color w:val="000000"/>
                <w:sz w:val="24"/>
                <w:szCs w:val="24"/>
              </w:rPr>
              <w:t>13</w:t>
            </w:r>
          </w:p>
        </w:tc>
        <w:tc>
          <w:tcPr>
            <w:tcW w:w="1409" w:type="pct"/>
            <w:shd w:val="clear" w:color="auto" w:fill="auto"/>
            <w:noWrap w:val="0"/>
            <w:vAlign w:val="center"/>
          </w:tcPr>
          <w:p>
            <w:pPr>
              <w:pStyle w:val="14"/>
              <w:spacing w:line="560" w:lineRule="exact"/>
              <w:contextualSpacing/>
              <w:rPr>
                <w:rFonts w:ascii="仿宋_GB2312" w:hAnsi="宋体" w:eastAsia="仿宋_GB2312"/>
                <w:color w:val="000000"/>
                <w:sz w:val="24"/>
                <w:szCs w:val="24"/>
              </w:rPr>
            </w:pPr>
            <w:r>
              <w:rPr>
                <w:rFonts w:hint="eastAsia" w:ascii="仿宋_GB2312" w:hAnsi="宋体" w:eastAsia="仿宋_GB2312"/>
                <w:color w:val="000000"/>
                <w:sz w:val="24"/>
                <w:szCs w:val="24"/>
              </w:rPr>
              <w:t>矿泉水</w:t>
            </w:r>
          </w:p>
        </w:tc>
        <w:tc>
          <w:tcPr>
            <w:tcW w:w="1196" w:type="pct"/>
            <w:shd w:val="clear" w:color="auto" w:fill="auto"/>
            <w:noWrap w:val="0"/>
            <w:vAlign w:val="center"/>
          </w:tcPr>
          <w:p>
            <w:pPr>
              <w:pStyle w:val="14"/>
              <w:spacing w:line="560" w:lineRule="exact"/>
              <w:contextualSpacing/>
              <w:rPr>
                <w:rFonts w:ascii="仿宋_GB2312" w:hAnsi="宋体" w:eastAsia="仿宋_GB2312"/>
                <w:color w:val="000000"/>
                <w:sz w:val="24"/>
                <w:szCs w:val="24"/>
              </w:rPr>
            </w:pPr>
            <w:r>
              <w:rPr>
                <w:rFonts w:ascii="仿宋_GB2312" w:hAnsi="宋体" w:eastAsia="仿宋_GB2312"/>
                <w:color w:val="000000"/>
                <w:sz w:val="24"/>
                <w:szCs w:val="24"/>
              </w:rPr>
              <w:t>4</w:t>
            </w:r>
          </w:p>
        </w:tc>
        <w:tc>
          <w:tcPr>
            <w:tcW w:w="1818" w:type="pct"/>
            <w:shd w:val="clear" w:color="auto" w:fill="auto"/>
            <w:noWrap w:val="0"/>
            <w:vAlign w:val="center"/>
          </w:tcPr>
          <w:p>
            <w:pPr>
              <w:pStyle w:val="14"/>
              <w:spacing w:line="560" w:lineRule="exact"/>
              <w:contextualSpacing/>
              <w:rPr>
                <w:rFonts w:ascii="仿宋_GB2312" w:hAnsi="宋体" w:eastAsia="仿宋_GB2312"/>
                <w:color w:val="000000"/>
                <w:sz w:val="24"/>
                <w:szCs w:val="24"/>
              </w:rPr>
            </w:pPr>
            <w:r>
              <w:rPr>
                <w:rFonts w:ascii="仿宋_GB2312" w:hAnsi="宋体" w:eastAsia="仿宋_GB2312"/>
                <w:color w:val="000000"/>
                <w:sz w:val="24"/>
                <w:szCs w:val="24"/>
              </w:rPr>
              <w:t>62.89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7" w:type="pct"/>
            <w:shd w:val="clear" w:color="auto" w:fill="auto"/>
            <w:noWrap w:val="0"/>
            <w:vAlign w:val="center"/>
          </w:tcPr>
          <w:p>
            <w:pPr>
              <w:pStyle w:val="14"/>
              <w:spacing w:line="560" w:lineRule="exact"/>
              <w:contextualSpacing/>
              <w:rPr>
                <w:rFonts w:ascii="仿宋_GB2312" w:hAnsi="宋体" w:eastAsia="仿宋_GB2312"/>
                <w:color w:val="000000"/>
                <w:sz w:val="24"/>
                <w:szCs w:val="24"/>
              </w:rPr>
            </w:pPr>
            <w:r>
              <w:rPr>
                <w:rFonts w:ascii="仿宋_GB2312" w:hAnsi="宋体" w:eastAsia="仿宋_GB2312"/>
                <w:color w:val="000000"/>
                <w:sz w:val="24"/>
                <w:szCs w:val="24"/>
              </w:rPr>
              <w:t>14</w:t>
            </w:r>
          </w:p>
        </w:tc>
        <w:tc>
          <w:tcPr>
            <w:tcW w:w="1409" w:type="pct"/>
            <w:shd w:val="clear" w:color="auto" w:fill="auto"/>
            <w:noWrap w:val="0"/>
            <w:vAlign w:val="center"/>
          </w:tcPr>
          <w:p>
            <w:pPr>
              <w:pStyle w:val="14"/>
              <w:spacing w:line="560" w:lineRule="exact"/>
              <w:contextualSpacing/>
              <w:rPr>
                <w:rFonts w:ascii="仿宋_GB2312" w:hAnsi="宋体" w:eastAsia="仿宋_GB2312"/>
                <w:color w:val="000000"/>
                <w:sz w:val="24"/>
                <w:szCs w:val="24"/>
              </w:rPr>
            </w:pPr>
            <w:r>
              <w:rPr>
                <w:rFonts w:hint="eastAsia" w:ascii="仿宋_GB2312" w:hAnsi="宋体" w:eastAsia="仿宋_GB2312"/>
                <w:color w:val="000000"/>
                <w:sz w:val="24"/>
                <w:szCs w:val="24"/>
              </w:rPr>
              <w:t>脉石英</w:t>
            </w:r>
          </w:p>
        </w:tc>
        <w:tc>
          <w:tcPr>
            <w:tcW w:w="1196" w:type="pct"/>
            <w:shd w:val="clear" w:color="auto" w:fill="auto"/>
            <w:noWrap w:val="0"/>
            <w:vAlign w:val="center"/>
          </w:tcPr>
          <w:p>
            <w:pPr>
              <w:pStyle w:val="14"/>
              <w:spacing w:line="560" w:lineRule="exact"/>
              <w:contextualSpacing/>
              <w:rPr>
                <w:rFonts w:ascii="仿宋_GB2312" w:hAnsi="宋体" w:eastAsia="仿宋_GB2312"/>
                <w:color w:val="000000"/>
                <w:sz w:val="24"/>
                <w:szCs w:val="24"/>
              </w:rPr>
            </w:pPr>
            <w:r>
              <w:rPr>
                <w:rFonts w:ascii="仿宋_GB2312" w:hAnsi="宋体" w:eastAsia="仿宋_GB2312"/>
                <w:color w:val="000000"/>
                <w:sz w:val="24"/>
                <w:szCs w:val="24"/>
              </w:rPr>
              <w:t>3</w:t>
            </w:r>
          </w:p>
        </w:tc>
        <w:tc>
          <w:tcPr>
            <w:tcW w:w="1818" w:type="pct"/>
            <w:shd w:val="clear" w:color="auto" w:fill="auto"/>
            <w:noWrap w:val="0"/>
            <w:vAlign w:val="center"/>
          </w:tcPr>
          <w:p>
            <w:pPr>
              <w:pStyle w:val="14"/>
              <w:spacing w:line="560" w:lineRule="exact"/>
              <w:contextualSpacing/>
              <w:rPr>
                <w:rFonts w:ascii="仿宋_GB2312" w:hAnsi="宋体" w:eastAsia="仿宋_GB2312"/>
                <w:color w:val="000000"/>
                <w:sz w:val="24"/>
                <w:szCs w:val="24"/>
              </w:rPr>
            </w:pPr>
            <w:r>
              <w:rPr>
                <w:rFonts w:ascii="仿宋_GB2312" w:hAnsi="宋体" w:eastAsia="仿宋_GB2312"/>
                <w:color w:val="000000"/>
                <w:sz w:val="24"/>
                <w:szCs w:val="24"/>
              </w:rPr>
              <w:t>11.24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7" w:type="pct"/>
            <w:shd w:val="clear" w:color="auto" w:fill="auto"/>
            <w:noWrap w:val="0"/>
            <w:vAlign w:val="center"/>
          </w:tcPr>
          <w:p>
            <w:pPr>
              <w:pStyle w:val="14"/>
              <w:spacing w:line="560" w:lineRule="exact"/>
              <w:contextualSpacing/>
              <w:rPr>
                <w:rFonts w:ascii="仿宋_GB2312" w:hAnsi="宋体" w:eastAsia="仿宋_GB2312"/>
                <w:color w:val="000000"/>
                <w:sz w:val="24"/>
                <w:szCs w:val="24"/>
              </w:rPr>
            </w:pPr>
            <w:r>
              <w:rPr>
                <w:rFonts w:ascii="仿宋_GB2312" w:hAnsi="宋体" w:eastAsia="仿宋_GB2312"/>
                <w:color w:val="000000"/>
                <w:sz w:val="24"/>
                <w:szCs w:val="24"/>
              </w:rPr>
              <w:t>15</w:t>
            </w:r>
          </w:p>
        </w:tc>
        <w:tc>
          <w:tcPr>
            <w:tcW w:w="1409" w:type="pct"/>
            <w:shd w:val="clear" w:color="auto" w:fill="auto"/>
            <w:noWrap w:val="0"/>
            <w:vAlign w:val="center"/>
          </w:tcPr>
          <w:p>
            <w:pPr>
              <w:pStyle w:val="14"/>
              <w:spacing w:line="560" w:lineRule="exact"/>
              <w:contextualSpacing/>
              <w:rPr>
                <w:rFonts w:ascii="仿宋_GB2312" w:hAnsi="宋体" w:eastAsia="仿宋_GB2312"/>
                <w:color w:val="000000"/>
                <w:sz w:val="24"/>
                <w:szCs w:val="24"/>
              </w:rPr>
            </w:pPr>
            <w:r>
              <w:rPr>
                <w:rFonts w:hint="eastAsia" w:ascii="仿宋_GB2312" w:hAnsi="宋体" w:eastAsia="仿宋_GB2312"/>
                <w:color w:val="000000"/>
                <w:sz w:val="24"/>
                <w:szCs w:val="24"/>
              </w:rPr>
              <w:t>蛇纹石</w:t>
            </w:r>
          </w:p>
        </w:tc>
        <w:tc>
          <w:tcPr>
            <w:tcW w:w="1196" w:type="pct"/>
            <w:shd w:val="clear" w:color="auto" w:fill="auto"/>
            <w:noWrap w:val="0"/>
            <w:vAlign w:val="center"/>
          </w:tcPr>
          <w:p>
            <w:pPr>
              <w:pStyle w:val="14"/>
              <w:spacing w:line="560" w:lineRule="exact"/>
              <w:contextualSpacing/>
              <w:rPr>
                <w:rFonts w:ascii="仿宋_GB2312" w:hAnsi="宋体" w:eastAsia="仿宋_GB2312"/>
                <w:color w:val="000000"/>
                <w:sz w:val="24"/>
                <w:szCs w:val="24"/>
              </w:rPr>
            </w:pPr>
            <w:r>
              <w:rPr>
                <w:rFonts w:ascii="仿宋_GB2312" w:hAnsi="宋体" w:eastAsia="仿宋_GB2312"/>
                <w:color w:val="000000"/>
                <w:sz w:val="24"/>
                <w:szCs w:val="24"/>
              </w:rPr>
              <w:t>1</w:t>
            </w:r>
          </w:p>
        </w:tc>
        <w:tc>
          <w:tcPr>
            <w:tcW w:w="1818" w:type="pct"/>
            <w:shd w:val="clear" w:color="auto" w:fill="auto"/>
            <w:noWrap w:val="0"/>
            <w:vAlign w:val="center"/>
          </w:tcPr>
          <w:p>
            <w:pPr>
              <w:pStyle w:val="14"/>
              <w:spacing w:line="560" w:lineRule="exact"/>
              <w:contextualSpacing/>
              <w:rPr>
                <w:rFonts w:ascii="仿宋_GB2312" w:hAnsi="宋体" w:eastAsia="仿宋_GB2312"/>
                <w:color w:val="000000"/>
                <w:sz w:val="24"/>
                <w:szCs w:val="24"/>
              </w:rPr>
            </w:pPr>
            <w:r>
              <w:rPr>
                <w:rFonts w:ascii="仿宋_GB2312" w:hAnsi="宋体" w:eastAsia="仿宋_GB2312"/>
                <w:color w:val="000000"/>
                <w:sz w:val="24"/>
                <w:szCs w:val="24"/>
              </w:rPr>
              <w:t>2.99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7" w:type="pct"/>
            <w:shd w:val="clear" w:color="auto" w:fill="auto"/>
            <w:noWrap w:val="0"/>
            <w:vAlign w:val="center"/>
          </w:tcPr>
          <w:p>
            <w:pPr>
              <w:pStyle w:val="14"/>
              <w:spacing w:line="560" w:lineRule="exact"/>
              <w:contextualSpacing/>
              <w:rPr>
                <w:rFonts w:ascii="仿宋_GB2312" w:hAnsi="宋体" w:eastAsia="仿宋_GB2312"/>
                <w:color w:val="000000"/>
                <w:sz w:val="24"/>
                <w:szCs w:val="24"/>
              </w:rPr>
            </w:pPr>
            <w:r>
              <w:rPr>
                <w:rFonts w:ascii="仿宋_GB2312" w:hAnsi="宋体" w:eastAsia="仿宋_GB2312"/>
                <w:color w:val="000000"/>
                <w:sz w:val="24"/>
                <w:szCs w:val="24"/>
              </w:rPr>
              <w:t>16</w:t>
            </w:r>
          </w:p>
        </w:tc>
        <w:tc>
          <w:tcPr>
            <w:tcW w:w="1409" w:type="pct"/>
            <w:shd w:val="clear" w:color="auto" w:fill="auto"/>
            <w:noWrap w:val="0"/>
            <w:vAlign w:val="center"/>
          </w:tcPr>
          <w:p>
            <w:pPr>
              <w:pStyle w:val="14"/>
              <w:spacing w:line="560" w:lineRule="exact"/>
              <w:contextualSpacing/>
              <w:rPr>
                <w:rFonts w:ascii="仿宋_GB2312" w:hAnsi="宋体" w:eastAsia="仿宋_GB2312"/>
                <w:color w:val="000000"/>
                <w:sz w:val="24"/>
                <w:szCs w:val="24"/>
              </w:rPr>
            </w:pPr>
            <w:r>
              <w:rPr>
                <w:rFonts w:hint="eastAsia" w:ascii="仿宋_GB2312" w:hAnsi="宋体" w:eastAsia="仿宋_GB2312"/>
                <w:color w:val="000000"/>
                <w:sz w:val="24"/>
                <w:szCs w:val="24"/>
              </w:rPr>
              <w:t>火山渣</w:t>
            </w:r>
          </w:p>
        </w:tc>
        <w:tc>
          <w:tcPr>
            <w:tcW w:w="1196" w:type="pct"/>
            <w:shd w:val="clear" w:color="auto" w:fill="auto"/>
            <w:noWrap w:val="0"/>
            <w:vAlign w:val="center"/>
          </w:tcPr>
          <w:p>
            <w:pPr>
              <w:pStyle w:val="14"/>
              <w:spacing w:line="560" w:lineRule="exact"/>
              <w:contextualSpacing/>
              <w:rPr>
                <w:rFonts w:ascii="仿宋_GB2312" w:hAnsi="宋体" w:eastAsia="仿宋_GB2312"/>
                <w:color w:val="000000"/>
                <w:sz w:val="24"/>
                <w:szCs w:val="24"/>
              </w:rPr>
            </w:pPr>
            <w:r>
              <w:rPr>
                <w:rFonts w:ascii="仿宋_GB2312" w:hAnsi="宋体" w:eastAsia="仿宋_GB2312"/>
                <w:color w:val="000000"/>
                <w:sz w:val="24"/>
                <w:szCs w:val="24"/>
              </w:rPr>
              <w:t>1</w:t>
            </w:r>
          </w:p>
        </w:tc>
        <w:tc>
          <w:tcPr>
            <w:tcW w:w="1818" w:type="pct"/>
            <w:shd w:val="clear" w:color="auto" w:fill="auto"/>
            <w:noWrap w:val="0"/>
            <w:vAlign w:val="center"/>
          </w:tcPr>
          <w:p>
            <w:pPr>
              <w:pStyle w:val="14"/>
              <w:spacing w:line="560" w:lineRule="exact"/>
              <w:contextualSpacing/>
              <w:rPr>
                <w:rFonts w:ascii="仿宋_GB2312" w:hAnsi="宋体" w:eastAsia="仿宋_GB2312"/>
                <w:color w:val="000000"/>
                <w:sz w:val="24"/>
                <w:szCs w:val="24"/>
              </w:rPr>
            </w:pPr>
            <w:r>
              <w:rPr>
                <w:rFonts w:ascii="仿宋_GB2312" w:hAnsi="宋体" w:eastAsia="仿宋_GB2312"/>
                <w:color w:val="000000"/>
                <w:sz w:val="24"/>
                <w:szCs w:val="24"/>
              </w:rPr>
              <w:t>3.39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7" w:type="pct"/>
            <w:shd w:val="clear" w:color="auto" w:fill="auto"/>
            <w:noWrap w:val="0"/>
            <w:vAlign w:val="center"/>
          </w:tcPr>
          <w:p>
            <w:pPr>
              <w:pStyle w:val="14"/>
              <w:spacing w:line="560" w:lineRule="exact"/>
              <w:contextualSpacing/>
              <w:rPr>
                <w:rFonts w:ascii="仿宋_GB2312" w:hAnsi="宋体" w:eastAsia="仿宋_GB2312"/>
                <w:color w:val="000000"/>
                <w:sz w:val="24"/>
                <w:szCs w:val="24"/>
              </w:rPr>
            </w:pPr>
            <w:r>
              <w:rPr>
                <w:rFonts w:ascii="仿宋_GB2312" w:hAnsi="宋体" w:eastAsia="仿宋_GB2312"/>
                <w:color w:val="000000"/>
                <w:sz w:val="24"/>
                <w:szCs w:val="24"/>
              </w:rPr>
              <w:t>17</w:t>
            </w:r>
          </w:p>
        </w:tc>
        <w:tc>
          <w:tcPr>
            <w:tcW w:w="1409" w:type="pct"/>
            <w:shd w:val="clear" w:color="auto" w:fill="auto"/>
            <w:noWrap w:val="0"/>
            <w:vAlign w:val="center"/>
          </w:tcPr>
          <w:p>
            <w:pPr>
              <w:pStyle w:val="14"/>
              <w:spacing w:line="560" w:lineRule="exact"/>
              <w:contextualSpacing/>
              <w:rPr>
                <w:rFonts w:ascii="仿宋_GB2312" w:hAnsi="宋体" w:eastAsia="仿宋_GB2312"/>
                <w:color w:val="000000"/>
                <w:sz w:val="24"/>
                <w:szCs w:val="24"/>
              </w:rPr>
            </w:pPr>
            <w:r>
              <w:rPr>
                <w:rFonts w:hint="eastAsia" w:ascii="仿宋_GB2312" w:hAnsi="宋体" w:eastAsia="仿宋_GB2312"/>
                <w:color w:val="000000"/>
                <w:sz w:val="24"/>
                <w:szCs w:val="24"/>
              </w:rPr>
              <w:t>大理岩</w:t>
            </w:r>
          </w:p>
        </w:tc>
        <w:tc>
          <w:tcPr>
            <w:tcW w:w="1196" w:type="pct"/>
            <w:shd w:val="clear" w:color="auto" w:fill="auto"/>
            <w:noWrap w:val="0"/>
            <w:vAlign w:val="center"/>
          </w:tcPr>
          <w:p>
            <w:pPr>
              <w:pStyle w:val="14"/>
              <w:spacing w:line="560" w:lineRule="exact"/>
              <w:contextualSpacing/>
              <w:rPr>
                <w:rFonts w:ascii="仿宋_GB2312" w:hAnsi="宋体" w:eastAsia="仿宋_GB2312"/>
                <w:color w:val="000000"/>
                <w:sz w:val="24"/>
                <w:szCs w:val="24"/>
              </w:rPr>
            </w:pPr>
            <w:r>
              <w:rPr>
                <w:rFonts w:ascii="仿宋_GB2312" w:hAnsi="宋体" w:eastAsia="仿宋_GB2312"/>
                <w:color w:val="000000"/>
                <w:sz w:val="24"/>
                <w:szCs w:val="24"/>
              </w:rPr>
              <w:t>1</w:t>
            </w:r>
          </w:p>
        </w:tc>
        <w:tc>
          <w:tcPr>
            <w:tcW w:w="1818" w:type="pct"/>
            <w:shd w:val="clear" w:color="auto" w:fill="auto"/>
            <w:noWrap w:val="0"/>
            <w:vAlign w:val="center"/>
          </w:tcPr>
          <w:p>
            <w:pPr>
              <w:pStyle w:val="14"/>
              <w:spacing w:line="560" w:lineRule="exact"/>
              <w:contextualSpacing/>
              <w:rPr>
                <w:rFonts w:ascii="仿宋_GB2312" w:hAnsi="宋体" w:eastAsia="仿宋_GB2312"/>
                <w:color w:val="000000"/>
                <w:sz w:val="24"/>
                <w:szCs w:val="24"/>
              </w:rPr>
            </w:pPr>
            <w:r>
              <w:rPr>
                <w:rFonts w:ascii="仿宋_GB2312" w:hAnsi="宋体" w:eastAsia="仿宋_GB2312"/>
                <w:color w:val="000000"/>
                <w:sz w:val="24"/>
                <w:szCs w:val="24"/>
              </w:rPr>
              <w:t>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7" w:type="pct"/>
            <w:shd w:val="clear" w:color="auto" w:fill="auto"/>
            <w:noWrap w:val="0"/>
            <w:vAlign w:val="center"/>
          </w:tcPr>
          <w:p>
            <w:pPr>
              <w:pStyle w:val="14"/>
              <w:spacing w:line="560" w:lineRule="exact"/>
              <w:contextualSpacing/>
              <w:rPr>
                <w:rFonts w:ascii="仿宋_GB2312" w:hAnsi="宋体" w:eastAsia="仿宋_GB2312"/>
                <w:color w:val="000000"/>
                <w:sz w:val="24"/>
                <w:szCs w:val="24"/>
              </w:rPr>
            </w:pPr>
            <w:r>
              <w:rPr>
                <w:rFonts w:ascii="仿宋_GB2312" w:hAnsi="宋体" w:eastAsia="仿宋_GB2312"/>
                <w:color w:val="000000"/>
                <w:sz w:val="24"/>
                <w:szCs w:val="24"/>
              </w:rPr>
              <w:t>18</w:t>
            </w:r>
          </w:p>
        </w:tc>
        <w:tc>
          <w:tcPr>
            <w:tcW w:w="1409" w:type="pct"/>
            <w:shd w:val="clear" w:color="auto" w:fill="auto"/>
            <w:noWrap w:val="0"/>
            <w:vAlign w:val="center"/>
          </w:tcPr>
          <w:p>
            <w:pPr>
              <w:pStyle w:val="14"/>
              <w:spacing w:line="560" w:lineRule="exact"/>
              <w:contextualSpacing/>
              <w:rPr>
                <w:rFonts w:ascii="仿宋_GB2312" w:hAnsi="宋体" w:eastAsia="仿宋_GB2312"/>
                <w:color w:val="000000"/>
                <w:sz w:val="24"/>
                <w:szCs w:val="24"/>
              </w:rPr>
            </w:pPr>
            <w:r>
              <w:rPr>
                <w:rFonts w:hint="eastAsia" w:ascii="仿宋_GB2312" w:hAnsi="宋体" w:eastAsia="仿宋_GB2312"/>
                <w:color w:val="000000"/>
                <w:sz w:val="24"/>
                <w:szCs w:val="24"/>
              </w:rPr>
              <w:t>沸石</w:t>
            </w:r>
          </w:p>
        </w:tc>
        <w:tc>
          <w:tcPr>
            <w:tcW w:w="1196" w:type="pct"/>
            <w:shd w:val="clear" w:color="auto" w:fill="auto"/>
            <w:noWrap w:val="0"/>
            <w:vAlign w:val="center"/>
          </w:tcPr>
          <w:p>
            <w:pPr>
              <w:pStyle w:val="14"/>
              <w:spacing w:line="560" w:lineRule="exact"/>
              <w:contextualSpacing/>
              <w:rPr>
                <w:rFonts w:ascii="仿宋_GB2312" w:hAnsi="宋体" w:eastAsia="仿宋_GB2312"/>
                <w:color w:val="000000"/>
                <w:sz w:val="24"/>
                <w:szCs w:val="24"/>
              </w:rPr>
            </w:pPr>
            <w:r>
              <w:rPr>
                <w:rFonts w:ascii="仿宋_GB2312" w:hAnsi="宋体" w:eastAsia="仿宋_GB2312"/>
                <w:color w:val="000000"/>
                <w:sz w:val="24"/>
                <w:szCs w:val="24"/>
              </w:rPr>
              <w:t>1</w:t>
            </w:r>
          </w:p>
        </w:tc>
        <w:tc>
          <w:tcPr>
            <w:tcW w:w="1818" w:type="pct"/>
            <w:shd w:val="clear" w:color="auto" w:fill="auto"/>
            <w:noWrap w:val="0"/>
            <w:vAlign w:val="center"/>
          </w:tcPr>
          <w:p>
            <w:pPr>
              <w:pStyle w:val="14"/>
              <w:spacing w:line="560" w:lineRule="exact"/>
              <w:contextualSpacing/>
              <w:rPr>
                <w:rFonts w:ascii="仿宋_GB2312" w:hAnsi="宋体" w:eastAsia="仿宋_GB2312"/>
                <w:color w:val="000000"/>
                <w:sz w:val="24"/>
                <w:szCs w:val="24"/>
              </w:rPr>
            </w:pPr>
            <w:r>
              <w:rPr>
                <w:rFonts w:ascii="仿宋_GB2312" w:hAnsi="宋体" w:eastAsia="仿宋_GB2312"/>
                <w:color w:val="000000"/>
                <w:sz w:val="24"/>
                <w:szCs w:val="24"/>
              </w:rPr>
              <w:t>3.52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7" w:type="pct"/>
            <w:shd w:val="clear" w:color="auto" w:fill="auto"/>
            <w:noWrap w:val="0"/>
            <w:vAlign w:val="center"/>
          </w:tcPr>
          <w:p>
            <w:pPr>
              <w:pStyle w:val="14"/>
              <w:spacing w:line="560" w:lineRule="exact"/>
              <w:contextualSpacing/>
              <w:rPr>
                <w:rFonts w:ascii="仿宋_GB2312" w:hAnsi="宋体" w:eastAsia="仿宋_GB2312"/>
                <w:color w:val="000000"/>
                <w:sz w:val="24"/>
                <w:szCs w:val="24"/>
              </w:rPr>
            </w:pPr>
            <w:r>
              <w:rPr>
                <w:rFonts w:ascii="仿宋_GB2312" w:hAnsi="宋体" w:eastAsia="仿宋_GB2312"/>
                <w:color w:val="000000"/>
                <w:sz w:val="24"/>
                <w:szCs w:val="24"/>
              </w:rPr>
              <w:t>19</w:t>
            </w:r>
          </w:p>
        </w:tc>
        <w:tc>
          <w:tcPr>
            <w:tcW w:w="1409" w:type="pct"/>
            <w:shd w:val="clear" w:color="auto" w:fill="auto"/>
            <w:noWrap w:val="0"/>
            <w:vAlign w:val="center"/>
          </w:tcPr>
          <w:p>
            <w:pPr>
              <w:pStyle w:val="14"/>
              <w:spacing w:line="560" w:lineRule="exact"/>
              <w:contextualSpacing/>
              <w:rPr>
                <w:rFonts w:ascii="仿宋_GB2312" w:hAnsi="宋体" w:eastAsia="仿宋_GB2312"/>
                <w:color w:val="000000"/>
                <w:sz w:val="24"/>
                <w:szCs w:val="24"/>
              </w:rPr>
            </w:pPr>
            <w:r>
              <w:rPr>
                <w:rFonts w:hint="eastAsia" w:ascii="仿宋_GB2312" w:hAnsi="宋体" w:eastAsia="仿宋_GB2312"/>
                <w:color w:val="000000"/>
                <w:sz w:val="24"/>
                <w:szCs w:val="24"/>
              </w:rPr>
              <w:t>玄武岩</w:t>
            </w:r>
          </w:p>
        </w:tc>
        <w:tc>
          <w:tcPr>
            <w:tcW w:w="1196" w:type="pct"/>
            <w:shd w:val="clear" w:color="auto" w:fill="auto"/>
            <w:noWrap w:val="0"/>
            <w:vAlign w:val="center"/>
          </w:tcPr>
          <w:p>
            <w:pPr>
              <w:pStyle w:val="14"/>
              <w:spacing w:line="560" w:lineRule="exact"/>
              <w:contextualSpacing/>
              <w:rPr>
                <w:rFonts w:ascii="仿宋_GB2312" w:hAnsi="宋体" w:eastAsia="仿宋_GB2312"/>
                <w:color w:val="000000"/>
                <w:sz w:val="24"/>
                <w:szCs w:val="24"/>
              </w:rPr>
            </w:pPr>
            <w:r>
              <w:rPr>
                <w:rFonts w:ascii="仿宋_GB2312" w:hAnsi="宋体" w:eastAsia="仿宋_GB2312"/>
                <w:color w:val="000000"/>
                <w:sz w:val="24"/>
                <w:szCs w:val="24"/>
              </w:rPr>
              <w:t>3</w:t>
            </w:r>
          </w:p>
        </w:tc>
        <w:tc>
          <w:tcPr>
            <w:tcW w:w="1818" w:type="pct"/>
            <w:shd w:val="clear" w:color="auto" w:fill="auto"/>
            <w:noWrap/>
            <w:vAlign w:val="center"/>
          </w:tcPr>
          <w:p>
            <w:pPr>
              <w:pStyle w:val="14"/>
              <w:spacing w:line="560" w:lineRule="exact"/>
              <w:contextualSpacing/>
              <w:rPr>
                <w:rFonts w:ascii="仿宋_GB2312" w:hAnsi="宋体" w:eastAsia="仿宋_GB2312"/>
                <w:color w:val="000000"/>
                <w:sz w:val="24"/>
                <w:szCs w:val="24"/>
              </w:rPr>
            </w:pPr>
            <w:r>
              <w:rPr>
                <w:rFonts w:ascii="仿宋_GB2312" w:hAnsi="宋体" w:eastAsia="仿宋_GB2312"/>
                <w:color w:val="000000"/>
                <w:sz w:val="24"/>
                <w:szCs w:val="24"/>
              </w:rPr>
              <w:t>16.37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7" w:type="pct"/>
            <w:shd w:val="clear" w:color="auto" w:fill="auto"/>
            <w:noWrap w:val="0"/>
            <w:vAlign w:val="center"/>
          </w:tcPr>
          <w:p>
            <w:pPr>
              <w:pStyle w:val="14"/>
              <w:spacing w:line="560" w:lineRule="exact"/>
              <w:contextualSpacing/>
              <w:rPr>
                <w:rFonts w:ascii="仿宋_GB2312" w:hAnsi="宋体" w:eastAsia="仿宋_GB2312"/>
                <w:color w:val="000000"/>
                <w:sz w:val="24"/>
                <w:szCs w:val="24"/>
              </w:rPr>
            </w:pPr>
            <w:r>
              <w:rPr>
                <w:rFonts w:hint="eastAsia" w:ascii="仿宋_GB2312" w:hAnsi="宋体" w:eastAsia="仿宋_GB2312"/>
                <w:color w:val="000000"/>
                <w:sz w:val="24"/>
                <w:szCs w:val="24"/>
              </w:rPr>
              <w:t>合计</w:t>
            </w:r>
          </w:p>
        </w:tc>
        <w:tc>
          <w:tcPr>
            <w:tcW w:w="1409" w:type="pct"/>
            <w:shd w:val="clear" w:color="auto" w:fill="auto"/>
            <w:noWrap w:val="0"/>
            <w:vAlign w:val="center"/>
          </w:tcPr>
          <w:p>
            <w:pPr>
              <w:pStyle w:val="14"/>
              <w:spacing w:line="560" w:lineRule="exact"/>
              <w:contextualSpacing/>
              <w:rPr>
                <w:rFonts w:ascii="仿宋_GB2312" w:hAnsi="宋体" w:eastAsia="仿宋_GB2312"/>
                <w:color w:val="000000"/>
                <w:sz w:val="24"/>
                <w:szCs w:val="24"/>
              </w:rPr>
            </w:pPr>
          </w:p>
        </w:tc>
        <w:tc>
          <w:tcPr>
            <w:tcW w:w="1196" w:type="pct"/>
            <w:shd w:val="clear" w:color="auto" w:fill="auto"/>
            <w:noWrap w:val="0"/>
            <w:vAlign w:val="center"/>
          </w:tcPr>
          <w:p>
            <w:pPr>
              <w:pStyle w:val="14"/>
              <w:spacing w:line="560" w:lineRule="exact"/>
              <w:contextualSpacing/>
              <w:rPr>
                <w:rFonts w:ascii="仿宋_GB2312" w:hAnsi="宋体" w:eastAsia="仿宋_GB2312"/>
                <w:color w:val="000000"/>
                <w:sz w:val="24"/>
                <w:szCs w:val="24"/>
              </w:rPr>
            </w:pPr>
            <w:r>
              <w:rPr>
                <w:rFonts w:ascii="仿宋_GB2312" w:hAnsi="宋体" w:eastAsia="仿宋_GB2312"/>
                <w:color w:val="000000"/>
                <w:sz w:val="24"/>
                <w:szCs w:val="24"/>
              </w:rPr>
              <w:t>68</w:t>
            </w:r>
          </w:p>
        </w:tc>
        <w:tc>
          <w:tcPr>
            <w:tcW w:w="1818" w:type="pct"/>
            <w:shd w:val="clear" w:color="auto" w:fill="auto"/>
            <w:noWrap w:val="0"/>
            <w:vAlign w:val="center"/>
          </w:tcPr>
          <w:p>
            <w:pPr>
              <w:pStyle w:val="14"/>
              <w:spacing w:line="560" w:lineRule="exact"/>
              <w:contextualSpacing/>
              <w:rPr>
                <w:rFonts w:ascii="仿宋_GB2312" w:hAnsi="宋体" w:eastAsia="仿宋_GB2312"/>
                <w:color w:val="000000"/>
                <w:sz w:val="24"/>
                <w:szCs w:val="24"/>
              </w:rPr>
            </w:pPr>
            <w:r>
              <w:rPr>
                <w:rFonts w:ascii="仿宋_GB2312" w:hAnsi="宋体" w:eastAsia="仿宋_GB2312"/>
                <w:color w:val="000000"/>
                <w:sz w:val="24"/>
                <w:szCs w:val="24"/>
              </w:rPr>
              <w:t>866.44</w:t>
            </w:r>
          </w:p>
        </w:tc>
      </w:tr>
    </w:tbl>
    <w:p>
      <w:pPr>
        <w:pStyle w:val="5"/>
        <w:ind w:firstLine="640"/>
        <w:rPr>
          <w:szCs w:val="32"/>
        </w:rPr>
      </w:pPr>
    </w:p>
    <w:p>
      <w:pPr>
        <w:pStyle w:val="5"/>
        <w:ind w:firstLine="640"/>
        <w:rPr>
          <w:szCs w:val="32"/>
        </w:rPr>
      </w:pPr>
      <w:r>
        <w:rPr>
          <w:rFonts w:hint="eastAsia"/>
          <w:szCs w:val="32"/>
        </w:rPr>
        <w:t>二、矿产资源勘查监督管理</w:t>
      </w:r>
    </w:p>
    <w:p>
      <w:pPr>
        <w:spacing w:line="560" w:lineRule="exact"/>
        <w:ind w:firstLine="640"/>
        <w:contextualSpacing/>
        <w:rPr>
          <w:rFonts w:ascii="仿宋_GB2312" w:eastAsia="仿宋_GB2312"/>
          <w:sz w:val="32"/>
          <w:szCs w:val="32"/>
        </w:rPr>
      </w:pPr>
      <w:r>
        <w:rPr>
          <w:rFonts w:hint="eastAsia" w:ascii="仿宋_GB2312" w:eastAsia="仿宋_GB2312"/>
          <w:sz w:val="32"/>
          <w:szCs w:val="32"/>
        </w:rPr>
        <w:t>规范勘查规划区块设置。区块必须符合国家法律法规和相关产业政策，面积不得小于一个基本单位区块，且不得与已有矿业权和上级规划区块平面上交叉重叠。设置需保持已知勘查信息的完整性，以已知的地球物理异常、地球化学异常、一定的地质推断和矿化线索等为基础，一个完整的勘查信息不得分割为多个勘查区块。一个勘查规划区块原则上只设一个勘查主体，拟投放探矿权主矿种为低风险矿种的不得变为高风险矿种。</w:t>
      </w:r>
    </w:p>
    <w:p>
      <w:pPr>
        <w:spacing w:line="560" w:lineRule="exact"/>
        <w:ind w:firstLine="640"/>
        <w:contextualSpacing/>
        <w:rPr>
          <w:rFonts w:ascii="仿宋_GB2312" w:eastAsia="仿宋_GB2312"/>
          <w:sz w:val="32"/>
          <w:szCs w:val="32"/>
        </w:rPr>
      </w:pPr>
      <w:r>
        <w:rPr>
          <w:rFonts w:hint="eastAsia" w:ascii="仿宋_GB2312" w:eastAsia="仿宋_GB2312"/>
          <w:sz w:val="32"/>
          <w:szCs w:val="32"/>
        </w:rPr>
        <w:t>严格矿业权出让管理。推进和贯彻落实国家和自治区矿产资源管理改革的意见，承接自治区下放的矿业权审批权限。矿业权应当以招标、拍卖、挂牌方式公开竞争出让，国家规定的协议出让情形除外。各级财政全额出资的地质勘查项目不再设置探矿权，凭项目任务书开展地质勘查工作。</w:t>
      </w:r>
    </w:p>
    <w:p>
      <w:pPr>
        <w:spacing w:line="560" w:lineRule="exact"/>
        <w:ind w:firstLine="640"/>
        <w:contextualSpacing/>
        <w:rPr>
          <w:rFonts w:ascii="仿宋_GB2312" w:eastAsia="仿宋_GB2312"/>
          <w:sz w:val="32"/>
          <w:szCs w:val="32"/>
        </w:rPr>
      </w:pPr>
      <w:r>
        <w:rPr>
          <w:rFonts w:hint="eastAsia" w:ascii="仿宋_GB2312" w:eastAsia="仿宋_GB2312"/>
          <w:sz w:val="32"/>
          <w:szCs w:val="32"/>
        </w:rPr>
        <w:t>强化地质勘查监督管理。全面落实矿业权人勘查信息公示制度，推进地勘行业诚信体系建设，建立地质勘查单位异常名录和黑名单制度，推动对违法和失信地勘单位、矿山企业的联合惩戒，对纳入异常名录和黑名单的，在申报财政出资项目、申请矿业权等方面予以限制。</w:t>
      </w:r>
    </w:p>
    <w:p>
      <w:pPr>
        <w:spacing w:line="560" w:lineRule="exact"/>
        <w:ind w:firstLine="640"/>
        <w:contextualSpacing/>
        <w:rPr>
          <w:rFonts w:ascii="仿宋_GB2312" w:eastAsia="仿宋_GB2312"/>
          <w:sz w:val="32"/>
          <w:szCs w:val="32"/>
        </w:rPr>
      </w:pPr>
      <w:r>
        <w:rPr>
          <w:rFonts w:hint="eastAsia" w:ascii="仿宋_GB2312" w:eastAsia="仿宋_GB2312"/>
          <w:sz w:val="32"/>
          <w:szCs w:val="32"/>
        </w:rPr>
        <w:t>完善探矿权退出和管理机制。探矿权人对勘查许可证有效期届满前未按要求申请延续登记的，由负责出让登记的自然资源主管部门纳入已自行废止矿业权名单，并向社会公告。每年</w:t>
      </w:r>
      <w:r>
        <w:rPr>
          <w:rFonts w:ascii="仿宋_GB2312" w:eastAsia="仿宋_GB2312"/>
          <w:sz w:val="32"/>
          <w:szCs w:val="32"/>
        </w:rPr>
        <w:t>12月底前，负责出让登记的自然资源主管部门通过配号系统完成本级审批登记的有效探矿权确认，并在自然资源部门户网站向社会公开，实现登记发证有效探矿权基本信息公告常态化管理。</w:t>
      </w:r>
    </w:p>
    <w:p>
      <w:pPr>
        <w:spacing w:line="560" w:lineRule="exact"/>
        <w:ind w:firstLine="640"/>
        <w:contextualSpacing/>
        <w:rPr>
          <w:rFonts w:ascii="仿宋_GB2312" w:eastAsia="仿宋_GB2312"/>
          <w:sz w:val="32"/>
          <w:szCs w:val="32"/>
        </w:rPr>
      </w:pPr>
    </w:p>
    <w:p>
      <w:pPr>
        <w:pStyle w:val="3"/>
        <w:spacing w:line="560" w:lineRule="exact"/>
      </w:pPr>
      <w:bookmarkStart w:id="25" w:name="_Toc106610329"/>
      <w:r>
        <w:rPr>
          <w:rFonts w:hint="eastAsia"/>
        </w:rPr>
        <w:t>第二节</w:t>
      </w:r>
      <w:r>
        <w:t xml:space="preserve"> </w:t>
      </w:r>
      <w:r>
        <w:rPr>
          <w:rFonts w:hint="eastAsia"/>
        </w:rPr>
        <w:t>开采规划区块</w:t>
      </w:r>
      <w:bookmarkEnd w:id="25"/>
    </w:p>
    <w:p>
      <w:pPr>
        <w:ind w:firstLine="640"/>
        <w:rPr>
          <w:sz w:val="32"/>
          <w:szCs w:val="32"/>
        </w:rPr>
      </w:pPr>
    </w:p>
    <w:p>
      <w:pPr>
        <w:pStyle w:val="5"/>
        <w:ind w:firstLine="640"/>
        <w:rPr>
          <w:szCs w:val="32"/>
        </w:rPr>
      </w:pPr>
      <w:r>
        <w:rPr>
          <w:rFonts w:hint="eastAsia"/>
          <w:szCs w:val="32"/>
        </w:rPr>
        <w:t>一、开采规划区块设置</w:t>
      </w:r>
    </w:p>
    <w:p>
      <w:pPr>
        <w:spacing w:line="560" w:lineRule="exact"/>
        <w:ind w:firstLine="640"/>
        <w:contextualSpacing/>
        <w:rPr>
          <w:rFonts w:ascii="仿宋_GB2312" w:eastAsia="仿宋_GB2312"/>
          <w:sz w:val="32"/>
          <w:szCs w:val="32"/>
        </w:rPr>
      </w:pPr>
      <w:r>
        <w:rPr>
          <w:rFonts w:hint="eastAsia" w:ascii="仿宋_GB2312" w:eastAsia="仿宋_GB2312"/>
          <w:sz w:val="32"/>
          <w:szCs w:val="32"/>
        </w:rPr>
        <w:t>落实上级划定铁、铜、金等战略性矿产开采规划区块</w:t>
      </w:r>
      <w:r>
        <w:rPr>
          <w:rFonts w:ascii="仿宋_GB2312" w:eastAsia="仿宋_GB2312"/>
          <w:sz w:val="32"/>
          <w:szCs w:val="32"/>
        </w:rPr>
        <w:t>131个，面积1035.84平方千米。将非战略性矿产达到详查及以上勘查程度的区域划定市级开采规划区块共计160个，面积1285.79</w:t>
      </w:r>
      <w:r>
        <w:rPr>
          <w:rFonts w:hint="eastAsia" w:ascii="仿宋_GB2312" w:eastAsia="仿宋_GB2312"/>
          <w:sz w:val="32"/>
          <w:szCs w:val="32"/>
        </w:rPr>
        <w:t>平方千米，其中探转采类</w:t>
      </w:r>
      <w:r>
        <w:rPr>
          <w:rFonts w:ascii="仿宋_GB2312" w:eastAsia="仿宋_GB2312"/>
          <w:sz w:val="32"/>
          <w:szCs w:val="32"/>
        </w:rPr>
        <w:t>154个，空白区新设6个，矿种为铅、锌、银、石灰岩等15种。</w:t>
      </w:r>
    </w:p>
    <w:p>
      <w:pPr>
        <w:spacing w:line="560" w:lineRule="exact"/>
        <w:ind w:firstLine="640"/>
        <w:contextualSpacing/>
        <w:rPr>
          <w:rFonts w:ascii="仿宋_GB2312" w:eastAsia="仿宋_GB2312"/>
          <w:sz w:val="32"/>
          <w:szCs w:val="32"/>
        </w:rPr>
      </w:pPr>
    </w:p>
    <w:p>
      <w:pPr>
        <w:pStyle w:val="13"/>
        <w:spacing w:line="560" w:lineRule="exact"/>
        <w:ind w:firstLine="170" w:firstLineChars="71"/>
        <w:contextualSpacing/>
        <w:jc w:val="center"/>
        <w:rPr>
          <w:rFonts w:ascii="黑体" w:hAnsi="黑体" w:eastAsia="黑体"/>
          <w:color w:val="auto"/>
          <w:sz w:val="24"/>
          <w:szCs w:val="24"/>
        </w:rPr>
      </w:pPr>
      <w:r>
        <w:rPr>
          <w:rFonts w:hint="eastAsia" w:ascii="黑体" w:hAnsi="黑体" w:eastAsia="黑体"/>
          <w:color w:val="auto"/>
          <w:sz w:val="24"/>
          <w:szCs w:val="24"/>
        </w:rPr>
        <w:t>专栏</w:t>
      </w:r>
      <w:r>
        <w:rPr>
          <w:rFonts w:ascii="黑体" w:hAnsi="黑体" w:eastAsia="黑体"/>
          <w:color w:val="auto"/>
          <w:sz w:val="24"/>
          <w:szCs w:val="24"/>
        </w:rPr>
        <w:t xml:space="preserve">10 </w:t>
      </w:r>
      <w:r>
        <w:rPr>
          <w:rFonts w:hint="eastAsia" w:ascii="黑体" w:hAnsi="黑体" w:eastAsia="黑体"/>
          <w:color w:val="auto"/>
          <w:sz w:val="24"/>
          <w:szCs w:val="24"/>
        </w:rPr>
        <w:t>赤峰市划定开采规划区块</w:t>
      </w:r>
    </w:p>
    <w:tbl>
      <w:tblPr>
        <w:tblStyle w:val="10"/>
        <w:tblW w:w="5000" w:type="pct"/>
        <w:tblInd w:w="0" w:type="dxa"/>
        <w:tblLayout w:type="autofit"/>
        <w:tblCellMar>
          <w:top w:w="0" w:type="dxa"/>
          <w:left w:w="108" w:type="dxa"/>
          <w:bottom w:w="0" w:type="dxa"/>
          <w:right w:w="108" w:type="dxa"/>
        </w:tblCellMar>
      </w:tblPr>
      <w:tblGrid>
        <w:gridCol w:w="881"/>
        <w:gridCol w:w="2306"/>
        <w:gridCol w:w="1875"/>
        <w:gridCol w:w="3460"/>
      </w:tblGrid>
      <w:tr>
        <w:tblPrEx>
          <w:tblCellMar>
            <w:top w:w="0" w:type="dxa"/>
            <w:left w:w="108" w:type="dxa"/>
            <w:bottom w:w="0" w:type="dxa"/>
            <w:right w:w="108" w:type="dxa"/>
          </w:tblCellMar>
        </w:tblPrEx>
        <w:trPr>
          <w:trHeight w:val="567" w:hRule="atLeast"/>
          <w:tblHeader/>
        </w:trPr>
        <w:tc>
          <w:tcPr>
            <w:tcW w:w="517" w:type="pct"/>
            <w:tcBorders>
              <w:top w:val="single" w:color="auto" w:sz="8" w:space="0"/>
              <w:left w:val="single" w:color="auto" w:sz="8" w:space="0"/>
              <w:bottom w:val="single" w:color="auto" w:sz="8" w:space="0"/>
              <w:right w:val="single" w:color="auto" w:sz="8" w:space="0"/>
            </w:tcBorders>
            <w:shd w:val="clear" w:color="auto" w:fill="auto"/>
            <w:noWrap w:val="0"/>
            <w:vAlign w:val="center"/>
          </w:tcPr>
          <w:p>
            <w:pPr>
              <w:pStyle w:val="14"/>
              <w:spacing w:line="560" w:lineRule="exact"/>
              <w:contextualSpacing/>
              <w:rPr>
                <w:rFonts w:ascii="黑体" w:hAnsi="黑体" w:eastAsia="黑体"/>
                <w:sz w:val="24"/>
                <w:szCs w:val="24"/>
              </w:rPr>
            </w:pPr>
            <w:r>
              <w:rPr>
                <w:rFonts w:hint="eastAsia" w:ascii="黑体" w:hAnsi="黑体" w:eastAsia="黑体"/>
                <w:sz w:val="24"/>
                <w:szCs w:val="24"/>
              </w:rPr>
              <w:t>序号</w:t>
            </w:r>
          </w:p>
        </w:tc>
        <w:tc>
          <w:tcPr>
            <w:tcW w:w="1353" w:type="pct"/>
            <w:tcBorders>
              <w:top w:val="single" w:color="auto" w:sz="8" w:space="0"/>
              <w:left w:val="nil"/>
              <w:bottom w:val="single" w:color="auto" w:sz="8" w:space="0"/>
              <w:right w:val="single" w:color="auto" w:sz="8" w:space="0"/>
            </w:tcBorders>
            <w:shd w:val="clear" w:color="auto" w:fill="auto"/>
            <w:noWrap w:val="0"/>
            <w:vAlign w:val="center"/>
          </w:tcPr>
          <w:p>
            <w:pPr>
              <w:pStyle w:val="14"/>
              <w:spacing w:line="560" w:lineRule="exact"/>
              <w:contextualSpacing/>
              <w:rPr>
                <w:rFonts w:ascii="黑体" w:hAnsi="黑体" w:eastAsia="黑体"/>
                <w:sz w:val="24"/>
                <w:szCs w:val="24"/>
              </w:rPr>
            </w:pPr>
            <w:r>
              <w:rPr>
                <w:rFonts w:hint="eastAsia" w:ascii="黑体" w:hAnsi="黑体" w:eastAsia="黑体"/>
                <w:sz w:val="24"/>
                <w:szCs w:val="24"/>
              </w:rPr>
              <w:t>矿种</w:t>
            </w:r>
          </w:p>
        </w:tc>
        <w:tc>
          <w:tcPr>
            <w:tcW w:w="1100" w:type="pct"/>
            <w:tcBorders>
              <w:top w:val="single" w:color="auto" w:sz="8" w:space="0"/>
              <w:left w:val="nil"/>
              <w:bottom w:val="single" w:color="auto" w:sz="8" w:space="0"/>
              <w:right w:val="single" w:color="auto" w:sz="8" w:space="0"/>
            </w:tcBorders>
            <w:shd w:val="clear" w:color="auto" w:fill="auto"/>
            <w:noWrap w:val="0"/>
            <w:vAlign w:val="center"/>
          </w:tcPr>
          <w:p>
            <w:pPr>
              <w:pStyle w:val="14"/>
              <w:spacing w:line="560" w:lineRule="exact"/>
              <w:contextualSpacing/>
              <w:rPr>
                <w:rFonts w:ascii="黑体" w:hAnsi="黑体" w:eastAsia="黑体"/>
                <w:sz w:val="24"/>
                <w:szCs w:val="24"/>
              </w:rPr>
            </w:pPr>
            <w:r>
              <w:rPr>
                <w:rFonts w:hint="eastAsia" w:ascii="黑体" w:hAnsi="黑体" w:eastAsia="黑体"/>
                <w:sz w:val="24"/>
                <w:szCs w:val="24"/>
              </w:rPr>
              <w:t>数量（个）</w:t>
            </w:r>
          </w:p>
        </w:tc>
        <w:tc>
          <w:tcPr>
            <w:tcW w:w="2030" w:type="pct"/>
            <w:tcBorders>
              <w:top w:val="single" w:color="auto" w:sz="8" w:space="0"/>
              <w:left w:val="nil"/>
              <w:bottom w:val="single" w:color="auto" w:sz="8" w:space="0"/>
              <w:right w:val="single" w:color="auto" w:sz="8" w:space="0"/>
            </w:tcBorders>
            <w:shd w:val="clear" w:color="auto" w:fill="auto"/>
            <w:noWrap w:val="0"/>
            <w:vAlign w:val="center"/>
          </w:tcPr>
          <w:p>
            <w:pPr>
              <w:pStyle w:val="14"/>
              <w:spacing w:line="560" w:lineRule="exact"/>
              <w:contextualSpacing/>
              <w:rPr>
                <w:rFonts w:ascii="黑体" w:hAnsi="黑体" w:eastAsia="黑体"/>
                <w:sz w:val="24"/>
                <w:szCs w:val="24"/>
              </w:rPr>
            </w:pPr>
            <w:r>
              <w:rPr>
                <w:rFonts w:hint="eastAsia" w:ascii="黑体" w:hAnsi="黑体" w:eastAsia="黑体"/>
                <w:sz w:val="24"/>
                <w:szCs w:val="24"/>
              </w:rPr>
              <w:t>面积（平方千米）</w:t>
            </w:r>
          </w:p>
        </w:tc>
      </w:tr>
      <w:tr>
        <w:tblPrEx>
          <w:tblCellMar>
            <w:top w:w="0" w:type="dxa"/>
            <w:left w:w="108" w:type="dxa"/>
            <w:bottom w:w="0" w:type="dxa"/>
            <w:right w:w="108" w:type="dxa"/>
          </w:tblCellMar>
        </w:tblPrEx>
        <w:trPr>
          <w:trHeight w:val="567" w:hRule="atLeast"/>
        </w:trPr>
        <w:tc>
          <w:tcPr>
            <w:tcW w:w="517" w:type="pct"/>
            <w:tcBorders>
              <w:top w:val="nil"/>
              <w:left w:val="single" w:color="auto" w:sz="8" w:space="0"/>
              <w:bottom w:val="single" w:color="auto" w:sz="8" w:space="0"/>
              <w:right w:val="single" w:color="auto" w:sz="8" w:space="0"/>
            </w:tcBorders>
            <w:shd w:val="clear" w:color="auto" w:fill="auto"/>
            <w:noWrap w:val="0"/>
            <w:vAlign w:val="center"/>
          </w:tcPr>
          <w:p>
            <w:pPr>
              <w:pStyle w:val="14"/>
              <w:spacing w:line="560" w:lineRule="exact"/>
              <w:contextualSpacing/>
              <w:rPr>
                <w:rFonts w:ascii="仿宋_GB2312" w:eastAsia="仿宋_GB2312"/>
                <w:sz w:val="24"/>
                <w:szCs w:val="24"/>
              </w:rPr>
            </w:pPr>
            <w:r>
              <w:rPr>
                <w:rFonts w:ascii="仿宋_GB2312" w:eastAsia="仿宋_GB2312"/>
                <w:sz w:val="24"/>
                <w:szCs w:val="24"/>
              </w:rPr>
              <w:t>1</w:t>
            </w:r>
          </w:p>
        </w:tc>
        <w:tc>
          <w:tcPr>
            <w:tcW w:w="1353" w:type="pct"/>
            <w:tcBorders>
              <w:top w:val="nil"/>
              <w:left w:val="nil"/>
              <w:bottom w:val="single" w:color="auto" w:sz="8" w:space="0"/>
              <w:right w:val="single" w:color="auto" w:sz="8" w:space="0"/>
            </w:tcBorders>
            <w:shd w:val="clear" w:color="auto" w:fill="auto"/>
            <w:noWrap w:val="0"/>
            <w:vAlign w:val="center"/>
          </w:tcPr>
          <w:p>
            <w:pPr>
              <w:pStyle w:val="14"/>
              <w:spacing w:line="560" w:lineRule="exact"/>
              <w:contextualSpacing/>
              <w:rPr>
                <w:rFonts w:ascii="仿宋_GB2312" w:eastAsia="仿宋_GB2312"/>
                <w:sz w:val="24"/>
                <w:szCs w:val="24"/>
              </w:rPr>
            </w:pPr>
            <w:r>
              <w:rPr>
                <w:rFonts w:hint="eastAsia" w:ascii="仿宋_GB2312" w:eastAsia="仿宋_GB2312"/>
                <w:sz w:val="24"/>
                <w:szCs w:val="24"/>
              </w:rPr>
              <w:t>铅</w:t>
            </w:r>
          </w:p>
        </w:tc>
        <w:tc>
          <w:tcPr>
            <w:tcW w:w="1100" w:type="pct"/>
            <w:tcBorders>
              <w:top w:val="nil"/>
              <w:left w:val="nil"/>
              <w:bottom w:val="single" w:color="auto" w:sz="8" w:space="0"/>
              <w:right w:val="single" w:color="auto" w:sz="8" w:space="0"/>
            </w:tcBorders>
            <w:shd w:val="clear" w:color="auto" w:fill="auto"/>
            <w:noWrap w:val="0"/>
            <w:vAlign w:val="center"/>
          </w:tcPr>
          <w:p>
            <w:pPr>
              <w:pStyle w:val="14"/>
              <w:spacing w:line="560" w:lineRule="exact"/>
              <w:contextualSpacing/>
              <w:rPr>
                <w:rFonts w:ascii="仿宋_GB2312" w:eastAsia="仿宋_GB2312"/>
                <w:sz w:val="24"/>
                <w:szCs w:val="24"/>
              </w:rPr>
            </w:pPr>
            <w:r>
              <w:rPr>
                <w:rFonts w:ascii="仿宋_GB2312" w:eastAsia="仿宋_GB2312"/>
                <w:sz w:val="24"/>
                <w:szCs w:val="24"/>
              </w:rPr>
              <w:t>83</w:t>
            </w:r>
          </w:p>
        </w:tc>
        <w:tc>
          <w:tcPr>
            <w:tcW w:w="2030" w:type="pct"/>
            <w:tcBorders>
              <w:top w:val="nil"/>
              <w:left w:val="nil"/>
              <w:bottom w:val="single" w:color="auto" w:sz="8" w:space="0"/>
              <w:right w:val="single" w:color="auto" w:sz="8" w:space="0"/>
            </w:tcBorders>
            <w:shd w:val="clear" w:color="auto" w:fill="auto"/>
            <w:noWrap w:val="0"/>
            <w:vAlign w:val="center"/>
          </w:tcPr>
          <w:p>
            <w:pPr>
              <w:pStyle w:val="14"/>
              <w:spacing w:line="560" w:lineRule="exact"/>
              <w:contextualSpacing/>
              <w:rPr>
                <w:rFonts w:ascii="仿宋_GB2312" w:eastAsia="仿宋_GB2312"/>
                <w:sz w:val="24"/>
                <w:szCs w:val="24"/>
              </w:rPr>
            </w:pPr>
            <w:r>
              <w:rPr>
                <w:rFonts w:ascii="仿宋_GB2312" w:eastAsia="仿宋_GB2312"/>
                <w:sz w:val="24"/>
                <w:szCs w:val="24"/>
              </w:rPr>
              <w:t>667.42</w:t>
            </w:r>
          </w:p>
        </w:tc>
      </w:tr>
      <w:tr>
        <w:tblPrEx>
          <w:tblCellMar>
            <w:top w:w="0" w:type="dxa"/>
            <w:left w:w="108" w:type="dxa"/>
            <w:bottom w:w="0" w:type="dxa"/>
            <w:right w:w="108" w:type="dxa"/>
          </w:tblCellMar>
        </w:tblPrEx>
        <w:trPr>
          <w:trHeight w:val="567" w:hRule="atLeast"/>
        </w:trPr>
        <w:tc>
          <w:tcPr>
            <w:tcW w:w="517" w:type="pct"/>
            <w:tcBorders>
              <w:top w:val="nil"/>
              <w:left w:val="single" w:color="auto" w:sz="8" w:space="0"/>
              <w:bottom w:val="single" w:color="auto" w:sz="8" w:space="0"/>
              <w:right w:val="single" w:color="auto" w:sz="8" w:space="0"/>
            </w:tcBorders>
            <w:shd w:val="clear" w:color="auto" w:fill="auto"/>
            <w:noWrap w:val="0"/>
            <w:vAlign w:val="center"/>
          </w:tcPr>
          <w:p>
            <w:pPr>
              <w:pStyle w:val="14"/>
              <w:spacing w:line="560" w:lineRule="exact"/>
              <w:contextualSpacing/>
              <w:rPr>
                <w:rFonts w:ascii="仿宋_GB2312" w:eastAsia="仿宋_GB2312"/>
                <w:sz w:val="24"/>
                <w:szCs w:val="24"/>
              </w:rPr>
            </w:pPr>
            <w:r>
              <w:rPr>
                <w:rFonts w:ascii="仿宋_GB2312" w:eastAsia="仿宋_GB2312"/>
                <w:sz w:val="24"/>
                <w:szCs w:val="24"/>
              </w:rPr>
              <w:t>2</w:t>
            </w:r>
          </w:p>
        </w:tc>
        <w:tc>
          <w:tcPr>
            <w:tcW w:w="1353" w:type="pct"/>
            <w:tcBorders>
              <w:top w:val="nil"/>
              <w:left w:val="nil"/>
              <w:bottom w:val="single" w:color="auto" w:sz="8" w:space="0"/>
              <w:right w:val="single" w:color="auto" w:sz="8" w:space="0"/>
            </w:tcBorders>
            <w:shd w:val="clear" w:color="auto" w:fill="auto"/>
            <w:noWrap w:val="0"/>
            <w:vAlign w:val="center"/>
          </w:tcPr>
          <w:p>
            <w:pPr>
              <w:pStyle w:val="14"/>
              <w:spacing w:line="560" w:lineRule="exact"/>
              <w:contextualSpacing/>
              <w:rPr>
                <w:rFonts w:ascii="仿宋_GB2312" w:eastAsia="仿宋_GB2312"/>
                <w:sz w:val="24"/>
                <w:szCs w:val="24"/>
              </w:rPr>
            </w:pPr>
            <w:r>
              <w:rPr>
                <w:rFonts w:hint="eastAsia" w:ascii="仿宋_GB2312" w:eastAsia="仿宋_GB2312"/>
                <w:sz w:val="24"/>
                <w:szCs w:val="24"/>
              </w:rPr>
              <w:t>锌</w:t>
            </w:r>
          </w:p>
        </w:tc>
        <w:tc>
          <w:tcPr>
            <w:tcW w:w="1100" w:type="pct"/>
            <w:tcBorders>
              <w:top w:val="nil"/>
              <w:left w:val="nil"/>
              <w:bottom w:val="single" w:color="auto" w:sz="8" w:space="0"/>
              <w:right w:val="single" w:color="auto" w:sz="8" w:space="0"/>
            </w:tcBorders>
            <w:shd w:val="clear" w:color="auto" w:fill="auto"/>
            <w:noWrap w:val="0"/>
            <w:vAlign w:val="center"/>
          </w:tcPr>
          <w:p>
            <w:pPr>
              <w:pStyle w:val="14"/>
              <w:spacing w:line="560" w:lineRule="exact"/>
              <w:contextualSpacing/>
              <w:rPr>
                <w:rFonts w:ascii="仿宋_GB2312" w:eastAsia="仿宋_GB2312"/>
                <w:sz w:val="24"/>
                <w:szCs w:val="24"/>
              </w:rPr>
            </w:pPr>
            <w:r>
              <w:rPr>
                <w:rFonts w:ascii="仿宋_GB2312" w:eastAsia="仿宋_GB2312"/>
                <w:sz w:val="24"/>
                <w:szCs w:val="24"/>
              </w:rPr>
              <w:t>2</w:t>
            </w:r>
          </w:p>
        </w:tc>
        <w:tc>
          <w:tcPr>
            <w:tcW w:w="2030" w:type="pct"/>
            <w:tcBorders>
              <w:top w:val="nil"/>
              <w:left w:val="nil"/>
              <w:bottom w:val="single" w:color="auto" w:sz="8" w:space="0"/>
              <w:right w:val="single" w:color="auto" w:sz="8" w:space="0"/>
            </w:tcBorders>
            <w:shd w:val="clear" w:color="auto" w:fill="auto"/>
            <w:noWrap w:val="0"/>
            <w:vAlign w:val="center"/>
          </w:tcPr>
          <w:p>
            <w:pPr>
              <w:pStyle w:val="14"/>
              <w:spacing w:line="560" w:lineRule="exact"/>
              <w:contextualSpacing/>
              <w:rPr>
                <w:rFonts w:ascii="仿宋_GB2312" w:eastAsia="仿宋_GB2312"/>
                <w:sz w:val="24"/>
                <w:szCs w:val="24"/>
              </w:rPr>
            </w:pPr>
            <w:r>
              <w:rPr>
                <w:rFonts w:ascii="仿宋_GB2312" w:eastAsia="仿宋_GB2312"/>
                <w:sz w:val="24"/>
                <w:szCs w:val="24"/>
              </w:rPr>
              <w:t>5.75</w:t>
            </w:r>
          </w:p>
        </w:tc>
      </w:tr>
      <w:tr>
        <w:tblPrEx>
          <w:tblCellMar>
            <w:top w:w="0" w:type="dxa"/>
            <w:left w:w="108" w:type="dxa"/>
            <w:bottom w:w="0" w:type="dxa"/>
            <w:right w:w="108" w:type="dxa"/>
          </w:tblCellMar>
        </w:tblPrEx>
        <w:trPr>
          <w:trHeight w:val="567" w:hRule="atLeast"/>
        </w:trPr>
        <w:tc>
          <w:tcPr>
            <w:tcW w:w="517" w:type="pct"/>
            <w:tcBorders>
              <w:top w:val="nil"/>
              <w:left w:val="single" w:color="auto" w:sz="8" w:space="0"/>
              <w:bottom w:val="single" w:color="auto" w:sz="8" w:space="0"/>
              <w:right w:val="single" w:color="auto" w:sz="8" w:space="0"/>
            </w:tcBorders>
            <w:shd w:val="clear" w:color="auto" w:fill="auto"/>
            <w:noWrap w:val="0"/>
            <w:vAlign w:val="center"/>
          </w:tcPr>
          <w:p>
            <w:pPr>
              <w:pStyle w:val="14"/>
              <w:spacing w:line="560" w:lineRule="exact"/>
              <w:contextualSpacing/>
              <w:rPr>
                <w:rFonts w:ascii="仿宋_GB2312" w:eastAsia="仿宋_GB2312"/>
                <w:sz w:val="24"/>
                <w:szCs w:val="24"/>
              </w:rPr>
            </w:pPr>
            <w:r>
              <w:rPr>
                <w:rFonts w:ascii="仿宋_GB2312" w:eastAsia="仿宋_GB2312"/>
                <w:sz w:val="24"/>
                <w:szCs w:val="24"/>
              </w:rPr>
              <w:t>3</w:t>
            </w:r>
          </w:p>
        </w:tc>
        <w:tc>
          <w:tcPr>
            <w:tcW w:w="1353" w:type="pct"/>
            <w:tcBorders>
              <w:top w:val="nil"/>
              <w:left w:val="nil"/>
              <w:bottom w:val="single" w:color="auto" w:sz="8" w:space="0"/>
              <w:right w:val="single" w:color="auto" w:sz="8" w:space="0"/>
            </w:tcBorders>
            <w:shd w:val="clear" w:color="auto" w:fill="auto"/>
            <w:noWrap w:val="0"/>
            <w:vAlign w:val="center"/>
          </w:tcPr>
          <w:p>
            <w:pPr>
              <w:pStyle w:val="14"/>
              <w:spacing w:line="560" w:lineRule="exact"/>
              <w:contextualSpacing/>
              <w:rPr>
                <w:rFonts w:ascii="仿宋_GB2312" w:eastAsia="仿宋_GB2312"/>
                <w:sz w:val="24"/>
                <w:szCs w:val="24"/>
              </w:rPr>
            </w:pPr>
            <w:r>
              <w:rPr>
                <w:rFonts w:hint="eastAsia" w:ascii="仿宋_GB2312" w:eastAsia="仿宋_GB2312"/>
                <w:sz w:val="24"/>
                <w:szCs w:val="24"/>
              </w:rPr>
              <w:t>银</w:t>
            </w:r>
          </w:p>
        </w:tc>
        <w:tc>
          <w:tcPr>
            <w:tcW w:w="1100" w:type="pct"/>
            <w:tcBorders>
              <w:top w:val="nil"/>
              <w:left w:val="nil"/>
              <w:bottom w:val="single" w:color="auto" w:sz="8" w:space="0"/>
              <w:right w:val="single" w:color="auto" w:sz="8" w:space="0"/>
            </w:tcBorders>
            <w:shd w:val="clear" w:color="auto" w:fill="auto"/>
            <w:noWrap w:val="0"/>
            <w:vAlign w:val="center"/>
          </w:tcPr>
          <w:p>
            <w:pPr>
              <w:pStyle w:val="14"/>
              <w:spacing w:line="560" w:lineRule="exact"/>
              <w:contextualSpacing/>
              <w:rPr>
                <w:rFonts w:ascii="仿宋_GB2312" w:eastAsia="仿宋_GB2312"/>
                <w:sz w:val="24"/>
                <w:szCs w:val="24"/>
              </w:rPr>
            </w:pPr>
            <w:r>
              <w:rPr>
                <w:rFonts w:ascii="仿宋_GB2312" w:eastAsia="仿宋_GB2312"/>
                <w:sz w:val="24"/>
                <w:szCs w:val="24"/>
              </w:rPr>
              <w:t>21</w:t>
            </w:r>
          </w:p>
        </w:tc>
        <w:tc>
          <w:tcPr>
            <w:tcW w:w="2030" w:type="pct"/>
            <w:tcBorders>
              <w:top w:val="nil"/>
              <w:left w:val="nil"/>
              <w:bottom w:val="single" w:color="auto" w:sz="8" w:space="0"/>
              <w:right w:val="single" w:color="auto" w:sz="8" w:space="0"/>
            </w:tcBorders>
            <w:shd w:val="clear" w:color="auto" w:fill="auto"/>
            <w:noWrap w:val="0"/>
            <w:vAlign w:val="center"/>
          </w:tcPr>
          <w:p>
            <w:pPr>
              <w:pStyle w:val="14"/>
              <w:spacing w:line="560" w:lineRule="exact"/>
              <w:contextualSpacing/>
              <w:rPr>
                <w:rFonts w:ascii="仿宋_GB2312" w:eastAsia="仿宋_GB2312"/>
                <w:sz w:val="24"/>
                <w:szCs w:val="24"/>
              </w:rPr>
            </w:pPr>
            <w:r>
              <w:rPr>
                <w:rFonts w:ascii="仿宋_GB2312" w:eastAsia="仿宋_GB2312"/>
                <w:sz w:val="24"/>
                <w:szCs w:val="24"/>
              </w:rPr>
              <w:t>255.50</w:t>
            </w:r>
          </w:p>
        </w:tc>
      </w:tr>
      <w:tr>
        <w:tblPrEx>
          <w:tblCellMar>
            <w:top w:w="0" w:type="dxa"/>
            <w:left w:w="108" w:type="dxa"/>
            <w:bottom w:w="0" w:type="dxa"/>
            <w:right w:w="108" w:type="dxa"/>
          </w:tblCellMar>
        </w:tblPrEx>
        <w:trPr>
          <w:trHeight w:val="567" w:hRule="atLeast"/>
        </w:trPr>
        <w:tc>
          <w:tcPr>
            <w:tcW w:w="517" w:type="pct"/>
            <w:tcBorders>
              <w:top w:val="nil"/>
              <w:left w:val="single" w:color="auto" w:sz="8" w:space="0"/>
              <w:bottom w:val="single" w:color="auto" w:sz="8" w:space="0"/>
              <w:right w:val="single" w:color="auto" w:sz="8" w:space="0"/>
            </w:tcBorders>
            <w:shd w:val="clear" w:color="auto" w:fill="auto"/>
            <w:noWrap w:val="0"/>
            <w:vAlign w:val="center"/>
          </w:tcPr>
          <w:p>
            <w:pPr>
              <w:pStyle w:val="14"/>
              <w:spacing w:line="560" w:lineRule="exact"/>
              <w:contextualSpacing/>
              <w:rPr>
                <w:rFonts w:ascii="仿宋_GB2312" w:eastAsia="仿宋_GB2312"/>
                <w:sz w:val="24"/>
                <w:szCs w:val="24"/>
              </w:rPr>
            </w:pPr>
            <w:r>
              <w:rPr>
                <w:rFonts w:ascii="仿宋_GB2312" w:eastAsia="仿宋_GB2312"/>
                <w:sz w:val="24"/>
                <w:szCs w:val="24"/>
              </w:rPr>
              <w:t>4</w:t>
            </w:r>
          </w:p>
        </w:tc>
        <w:tc>
          <w:tcPr>
            <w:tcW w:w="1353" w:type="pct"/>
            <w:tcBorders>
              <w:top w:val="nil"/>
              <w:left w:val="nil"/>
              <w:bottom w:val="single" w:color="auto" w:sz="8" w:space="0"/>
              <w:right w:val="single" w:color="auto" w:sz="8" w:space="0"/>
            </w:tcBorders>
            <w:shd w:val="clear" w:color="auto" w:fill="auto"/>
            <w:noWrap w:val="0"/>
            <w:vAlign w:val="center"/>
          </w:tcPr>
          <w:p>
            <w:pPr>
              <w:pStyle w:val="14"/>
              <w:spacing w:line="560" w:lineRule="exact"/>
              <w:contextualSpacing/>
              <w:rPr>
                <w:rFonts w:ascii="仿宋_GB2312" w:eastAsia="仿宋_GB2312"/>
                <w:sz w:val="24"/>
                <w:szCs w:val="24"/>
              </w:rPr>
            </w:pPr>
            <w:r>
              <w:rPr>
                <w:rFonts w:hint="eastAsia" w:ascii="仿宋_GB2312" w:eastAsia="仿宋_GB2312"/>
                <w:sz w:val="24"/>
                <w:szCs w:val="24"/>
              </w:rPr>
              <w:t>多金属</w:t>
            </w:r>
          </w:p>
        </w:tc>
        <w:tc>
          <w:tcPr>
            <w:tcW w:w="1100" w:type="pct"/>
            <w:tcBorders>
              <w:top w:val="nil"/>
              <w:left w:val="nil"/>
              <w:bottom w:val="single" w:color="auto" w:sz="8" w:space="0"/>
              <w:right w:val="single" w:color="auto" w:sz="8" w:space="0"/>
            </w:tcBorders>
            <w:shd w:val="clear" w:color="auto" w:fill="auto"/>
            <w:noWrap w:val="0"/>
            <w:vAlign w:val="center"/>
          </w:tcPr>
          <w:p>
            <w:pPr>
              <w:pStyle w:val="14"/>
              <w:spacing w:line="560" w:lineRule="exact"/>
              <w:contextualSpacing/>
              <w:rPr>
                <w:rFonts w:ascii="仿宋_GB2312" w:eastAsia="仿宋_GB2312"/>
                <w:sz w:val="24"/>
                <w:szCs w:val="24"/>
              </w:rPr>
            </w:pPr>
            <w:r>
              <w:rPr>
                <w:rFonts w:ascii="仿宋_GB2312" w:eastAsia="仿宋_GB2312"/>
                <w:sz w:val="24"/>
                <w:szCs w:val="24"/>
              </w:rPr>
              <w:t>31</w:t>
            </w:r>
          </w:p>
        </w:tc>
        <w:tc>
          <w:tcPr>
            <w:tcW w:w="2030" w:type="pct"/>
            <w:tcBorders>
              <w:top w:val="nil"/>
              <w:left w:val="nil"/>
              <w:bottom w:val="single" w:color="auto" w:sz="8" w:space="0"/>
              <w:right w:val="single" w:color="auto" w:sz="8" w:space="0"/>
            </w:tcBorders>
            <w:shd w:val="clear" w:color="auto" w:fill="auto"/>
            <w:noWrap w:val="0"/>
            <w:vAlign w:val="center"/>
          </w:tcPr>
          <w:p>
            <w:pPr>
              <w:pStyle w:val="14"/>
              <w:spacing w:line="560" w:lineRule="exact"/>
              <w:contextualSpacing/>
              <w:rPr>
                <w:rFonts w:ascii="仿宋_GB2312" w:eastAsia="仿宋_GB2312"/>
                <w:sz w:val="24"/>
                <w:szCs w:val="24"/>
              </w:rPr>
            </w:pPr>
            <w:r>
              <w:rPr>
                <w:rFonts w:ascii="仿宋_GB2312" w:eastAsia="仿宋_GB2312"/>
                <w:sz w:val="24"/>
                <w:szCs w:val="24"/>
              </w:rPr>
              <w:t>258.55</w:t>
            </w:r>
          </w:p>
        </w:tc>
      </w:tr>
      <w:tr>
        <w:tblPrEx>
          <w:tblCellMar>
            <w:top w:w="0" w:type="dxa"/>
            <w:left w:w="108" w:type="dxa"/>
            <w:bottom w:w="0" w:type="dxa"/>
            <w:right w:w="108" w:type="dxa"/>
          </w:tblCellMar>
        </w:tblPrEx>
        <w:trPr>
          <w:trHeight w:val="567" w:hRule="atLeast"/>
        </w:trPr>
        <w:tc>
          <w:tcPr>
            <w:tcW w:w="517" w:type="pct"/>
            <w:tcBorders>
              <w:top w:val="nil"/>
              <w:left w:val="single" w:color="auto" w:sz="8" w:space="0"/>
              <w:bottom w:val="single" w:color="auto" w:sz="8" w:space="0"/>
              <w:right w:val="single" w:color="auto" w:sz="8" w:space="0"/>
            </w:tcBorders>
            <w:shd w:val="clear" w:color="auto" w:fill="auto"/>
            <w:noWrap w:val="0"/>
            <w:vAlign w:val="center"/>
          </w:tcPr>
          <w:p>
            <w:pPr>
              <w:pStyle w:val="14"/>
              <w:spacing w:line="560" w:lineRule="exact"/>
              <w:contextualSpacing/>
              <w:rPr>
                <w:rFonts w:ascii="仿宋_GB2312" w:eastAsia="仿宋_GB2312"/>
                <w:sz w:val="24"/>
                <w:szCs w:val="24"/>
              </w:rPr>
            </w:pPr>
            <w:r>
              <w:rPr>
                <w:rFonts w:ascii="仿宋_GB2312" w:eastAsia="仿宋_GB2312"/>
                <w:sz w:val="24"/>
                <w:szCs w:val="24"/>
              </w:rPr>
              <w:t>5</w:t>
            </w:r>
          </w:p>
        </w:tc>
        <w:tc>
          <w:tcPr>
            <w:tcW w:w="1353" w:type="pct"/>
            <w:tcBorders>
              <w:top w:val="nil"/>
              <w:left w:val="nil"/>
              <w:bottom w:val="single" w:color="auto" w:sz="8" w:space="0"/>
              <w:right w:val="single" w:color="auto" w:sz="8" w:space="0"/>
            </w:tcBorders>
            <w:shd w:val="clear" w:color="auto" w:fill="auto"/>
            <w:noWrap w:val="0"/>
            <w:vAlign w:val="center"/>
          </w:tcPr>
          <w:p>
            <w:pPr>
              <w:pStyle w:val="14"/>
              <w:spacing w:line="560" w:lineRule="exact"/>
              <w:contextualSpacing/>
              <w:rPr>
                <w:rFonts w:ascii="仿宋_GB2312" w:eastAsia="仿宋_GB2312"/>
                <w:sz w:val="24"/>
                <w:szCs w:val="24"/>
              </w:rPr>
            </w:pPr>
            <w:r>
              <w:rPr>
                <w:rFonts w:hint="eastAsia" w:ascii="仿宋_GB2312" w:eastAsia="仿宋_GB2312"/>
                <w:sz w:val="24"/>
                <w:szCs w:val="24"/>
              </w:rPr>
              <w:t>水泥用石灰岩</w:t>
            </w:r>
          </w:p>
        </w:tc>
        <w:tc>
          <w:tcPr>
            <w:tcW w:w="1100" w:type="pct"/>
            <w:tcBorders>
              <w:top w:val="nil"/>
              <w:left w:val="nil"/>
              <w:bottom w:val="single" w:color="auto" w:sz="8" w:space="0"/>
              <w:right w:val="single" w:color="auto" w:sz="8" w:space="0"/>
            </w:tcBorders>
            <w:shd w:val="clear" w:color="auto" w:fill="auto"/>
            <w:noWrap w:val="0"/>
            <w:vAlign w:val="center"/>
          </w:tcPr>
          <w:p>
            <w:pPr>
              <w:pStyle w:val="14"/>
              <w:spacing w:line="560" w:lineRule="exact"/>
              <w:contextualSpacing/>
              <w:rPr>
                <w:rFonts w:ascii="仿宋_GB2312" w:eastAsia="仿宋_GB2312"/>
                <w:sz w:val="24"/>
                <w:szCs w:val="24"/>
              </w:rPr>
            </w:pPr>
            <w:r>
              <w:rPr>
                <w:rFonts w:ascii="仿宋_GB2312" w:eastAsia="仿宋_GB2312"/>
                <w:sz w:val="24"/>
                <w:szCs w:val="24"/>
              </w:rPr>
              <w:t>6</w:t>
            </w:r>
          </w:p>
        </w:tc>
        <w:tc>
          <w:tcPr>
            <w:tcW w:w="2030" w:type="pct"/>
            <w:tcBorders>
              <w:top w:val="nil"/>
              <w:left w:val="nil"/>
              <w:bottom w:val="single" w:color="auto" w:sz="8" w:space="0"/>
              <w:right w:val="single" w:color="auto" w:sz="8" w:space="0"/>
            </w:tcBorders>
            <w:shd w:val="clear" w:color="auto" w:fill="auto"/>
            <w:noWrap w:val="0"/>
            <w:vAlign w:val="center"/>
          </w:tcPr>
          <w:p>
            <w:pPr>
              <w:pStyle w:val="14"/>
              <w:spacing w:line="560" w:lineRule="exact"/>
              <w:contextualSpacing/>
              <w:rPr>
                <w:rFonts w:ascii="仿宋_GB2312" w:eastAsia="仿宋_GB2312"/>
                <w:sz w:val="24"/>
                <w:szCs w:val="24"/>
              </w:rPr>
            </w:pPr>
            <w:r>
              <w:rPr>
                <w:rFonts w:ascii="仿宋_GB2312" w:eastAsia="仿宋_GB2312"/>
                <w:sz w:val="24"/>
                <w:szCs w:val="24"/>
              </w:rPr>
              <w:t>8.91</w:t>
            </w:r>
          </w:p>
        </w:tc>
      </w:tr>
      <w:tr>
        <w:tblPrEx>
          <w:tblCellMar>
            <w:top w:w="0" w:type="dxa"/>
            <w:left w:w="108" w:type="dxa"/>
            <w:bottom w:w="0" w:type="dxa"/>
            <w:right w:w="108" w:type="dxa"/>
          </w:tblCellMar>
        </w:tblPrEx>
        <w:trPr>
          <w:trHeight w:val="567" w:hRule="atLeast"/>
        </w:trPr>
        <w:tc>
          <w:tcPr>
            <w:tcW w:w="517" w:type="pct"/>
            <w:tcBorders>
              <w:top w:val="nil"/>
              <w:left w:val="single" w:color="auto" w:sz="8" w:space="0"/>
              <w:bottom w:val="single" w:color="auto" w:sz="8" w:space="0"/>
              <w:right w:val="single" w:color="auto" w:sz="8" w:space="0"/>
            </w:tcBorders>
            <w:shd w:val="clear" w:color="auto" w:fill="auto"/>
            <w:noWrap w:val="0"/>
            <w:vAlign w:val="center"/>
          </w:tcPr>
          <w:p>
            <w:pPr>
              <w:pStyle w:val="14"/>
              <w:spacing w:line="560" w:lineRule="exact"/>
              <w:contextualSpacing/>
              <w:rPr>
                <w:rFonts w:ascii="仿宋_GB2312" w:eastAsia="仿宋_GB2312"/>
                <w:sz w:val="24"/>
                <w:szCs w:val="24"/>
              </w:rPr>
            </w:pPr>
            <w:r>
              <w:rPr>
                <w:rFonts w:ascii="仿宋_GB2312" w:eastAsia="仿宋_GB2312"/>
                <w:sz w:val="24"/>
                <w:szCs w:val="24"/>
              </w:rPr>
              <w:t>6</w:t>
            </w:r>
          </w:p>
        </w:tc>
        <w:tc>
          <w:tcPr>
            <w:tcW w:w="1353" w:type="pct"/>
            <w:tcBorders>
              <w:top w:val="nil"/>
              <w:left w:val="nil"/>
              <w:bottom w:val="single" w:color="auto" w:sz="8" w:space="0"/>
              <w:right w:val="single" w:color="auto" w:sz="8" w:space="0"/>
            </w:tcBorders>
            <w:shd w:val="clear" w:color="auto" w:fill="auto"/>
            <w:noWrap w:val="0"/>
            <w:vAlign w:val="center"/>
          </w:tcPr>
          <w:p>
            <w:pPr>
              <w:pStyle w:val="14"/>
              <w:spacing w:line="560" w:lineRule="exact"/>
              <w:contextualSpacing/>
              <w:rPr>
                <w:rFonts w:ascii="仿宋_GB2312" w:eastAsia="仿宋_GB2312"/>
                <w:sz w:val="24"/>
                <w:szCs w:val="24"/>
              </w:rPr>
            </w:pPr>
            <w:r>
              <w:rPr>
                <w:rFonts w:hint="eastAsia" w:ascii="仿宋_GB2312" w:eastAsia="仿宋_GB2312"/>
                <w:sz w:val="24"/>
                <w:szCs w:val="24"/>
              </w:rPr>
              <w:t>珍珠岩</w:t>
            </w:r>
          </w:p>
        </w:tc>
        <w:tc>
          <w:tcPr>
            <w:tcW w:w="1100" w:type="pct"/>
            <w:tcBorders>
              <w:top w:val="nil"/>
              <w:left w:val="nil"/>
              <w:bottom w:val="single" w:color="auto" w:sz="8" w:space="0"/>
              <w:right w:val="single" w:color="auto" w:sz="8" w:space="0"/>
            </w:tcBorders>
            <w:shd w:val="clear" w:color="auto" w:fill="auto"/>
            <w:noWrap w:val="0"/>
            <w:vAlign w:val="center"/>
          </w:tcPr>
          <w:p>
            <w:pPr>
              <w:pStyle w:val="14"/>
              <w:spacing w:line="560" w:lineRule="exact"/>
              <w:contextualSpacing/>
              <w:rPr>
                <w:rFonts w:ascii="仿宋_GB2312" w:eastAsia="仿宋_GB2312"/>
                <w:sz w:val="24"/>
                <w:szCs w:val="24"/>
              </w:rPr>
            </w:pPr>
            <w:r>
              <w:rPr>
                <w:rFonts w:ascii="仿宋_GB2312" w:eastAsia="仿宋_GB2312"/>
                <w:sz w:val="24"/>
                <w:szCs w:val="24"/>
              </w:rPr>
              <w:t>1</w:t>
            </w:r>
          </w:p>
        </w:tc>
        <w:tc>
          <w:tcPr>
            <w:tcW w:w="2030" w:type="pct"/>
            <w:tcBorders>
              <w:top w:val="nil"/>
              <w:left w:val="nil"/>
              <w:bottom w:val="single" w:color="auto" w:sz="8" w:space="0"/>
              <w:right w:val="single" w:color="auto" w:sz="8" w:space="0"/>
            </w:tcBorders>
            <w:shd w:val="clear" w:color="auto" w:fill="auto"/>
            <w:noWrap w:val="0"/>
            <w:vAlign w:val="center"/>
          </w:tcPr>
          <w:p>
            <w:pPr>
              <w:pStyle w:val="14"/>
              <w:spacing w:line="560" w:lineRule="exact"/>
              <w:contextualSpacing/>
              <w:rPr>
                <w:rFonts w:ascii="仿宋_GB2312" w:eastAsia="仿宋_GB2312"/>
                <w:sz w:val="24"/>
                <w:szCs w:val="24"/>
              </w:rPr>
            </w:pPr>
            <w:r>
              <w:rPr>
                <w:rFonts w:ascii="仿宋_GB2312" w:eastAsia="仿宋_GB2312"/>
                <w:sz w:val="24"/>
                <w:szCs w:val="24"/>
              </w:rPr>
              <w:t>11.24</w:t>
            </w:r>
          </w:p>
        </w:tc>
      </w:tr>
      <w:tr>
        <w:tblPrEx>
          <w:tblCellMar>
            <w:top w:w="0" w:type="dxa"/>
            <w:left w:w="108" w:type="dxa"/>
            <w:bottom w:w="0" w:type="dxa"/>
            <w:right w:w="108" w:type="dxa"/>
          </w:tblCellMar>
        </w:tblPrEx>
        <w:trPr>
          <w:trHeight w:val="567" w:hRule="atLeast"/>
        </w:trPr>
        <w:tc>
          <w:tcPr>
            <w:tcW w:w="517" w:type="pct"/>
            <w:tcBorders>
              <w:top w:val="nil"/>
              <w:left w:val="single" w:color="auto" w:sz="8" w:space="0"/>
              <w:bottom w:val="single" w:color="auto" w:sz="8" w:space="0"/>
              <w:right w:val="single" w:color="auto" w:sz="8" w:space="0"/>
            </w:tcBorders>
            <w:shd w:val="clear" w:color="auto" w:fill="auto"/>
            <w:noWrap w:val="0"/>
            <w:vAlign w:val="center"/>
          </w:tcPr>
          <w:p>
            <w:pPr>
              <w:pStyle w:val="14"/>
              <w:spacing w:line="560" w:lineRule="exact"/>
              <w:contextualSpacing/>
              <w:rPr>
                <w:rFonts w:ascii="仿宋_GB2312" w:eastAsia="仿宋_GB2312"/>
                <w:sz w:val="24"/>
                <w:szCs w:val="24"/>
              </w:rPr>
            </w:pPr>
            <w:r>
              <w:rPr>
                <w:rFonts w:ascii="仿宋_GB2312" w:eastAsia="仿宋_GB2312"/>
                <w:sz w:val="24"/>
                <w:szCs w:val="24"/>
              </w:rPr>
              <w:t>7</w:t>
            </w:r>
          </w:p>
        </w:tc>
        <w:tc>
          <w:tcPr>
            <w:tcW w:w="1353" w:type="pct"/>
            <w:tcBorders>
              <w:top w:val="nil"/>
              <w:left w:val="nil"/>
              <w:bottom w:val="single" w:color="auto" w:sz="8" w:space="0"/>
              <w:right w:val="single" w:color="auto" w:sz="8" w:space="0"/>
            </w:tcBorders>
            <w:shd w:val="clear" w:color="auto" w:fill="auto"/>
            <w:noWrap w:val="0"/>
            <w:vAlign w:val="center"/>
          </w:tcPr>
          <w:p>
            <w:pPr>
              <w:pStyle w:val="14"/>
              <w:spacing w:line="560" w:lineRule="exact"/>
              <w:contextualSpacing/>
              <w:rPr>
                <w:rFonts w:ascii="仿宋_GB2312" w:eastAsia="仿宋_GB2312"/>
                <w:sz w:val="24"/>
                <w:szCs w:val="24"/>
              </w:rPr>
            </w:pPr>
            <w:r>
              <w:rPr>
                <w:rFonts w:hint="eastAsia" w:ascii="仿宋_GB2312" w:eastAsia="仿宋_GB2312"/>
                <w:sz w:val="24"/>
                <w:szCs w:val="24"/>
              </w:rPr>
              <w:t>脉石英</w:t>
            </w:r>
          </w:p>
        </w:tc>
        <w:tc>
          <w:tcPr>
            <w:tcW w:w="1100" w:type="pct"/>
            <w:tcBorders>
              <w:top w:val="nil"/>
              <w:left w:val="nil"/>
              <w:bottom w:val="single" w:color="auto" w:sz="8" w:space="0"/>
              <w:right w:val="single" w:color="auto" w:sz="8" w:space="0"/>
            </w:tcBorders>
            <w:shd w:val="clear" w:color="auto" w:fill="auto"/>
            <w:noWrap w:val="0"/>
            <w:vAlign w:val="center"/>
          </w:tcPr>
          <w:p>
            <w:pPr>
              <w:pStyle w:val="14"/>
              <w:spacing w:line="560" w:lineRule="exact"/>
              <w:contextualSpacing/>
              <w:rPr>
                <w:rFonts w:ascii="仿宋_GB2312" w:eastAsia="仿宋_GB2312"/>
                <w:sz w:val="24"/>
                <w:szCs w:val="24"/>
              </w:rPr>
            </w:pPr>
            <w:r>
              <w:rPr>
                <w:rFonts w:ascii="仿宋_GB2312" w:eastAsia="仿宋_GB2312"/>
                <w:sz w:val="24"/>
                <w:szCs w:val="24"/>
              </w:rPr>
              <w:t>6</w:t>
            </w:r>
          </w:p>
        </w:tc>
        <w:tc>
          <w:tcPr>
            <w:tcW w:w="2030" w:type="pct"/>
            <w:tcBorders>
              <w:top w:val="nil"/>
              <w:left w:val="nil"/>
              <w:bottom w:val="single" w:color="auto" w:sz="8" w:space="0"/>
              <w:right w:val="single" w:color="auto" w:sz="8" w:space="0"/>
            </w:tcBorders>
            <w:shd w:val="clear" w:color="auto" w:fill="auto"/>
            <w:noWrap w:val="0"/>
            <w:vAlign w:val="center"/>
          </w:tcPr>
          <w:p>
            <w:pPr>
              <w:pStyle w:val="14"/>
              <w:spacing w:line="560" w:lineRule="exact"/>
              <w:contextualSpacing/>
              <w:rPr>
                <w:rFonts w:ascii="仿宋_GB2312" w:eastAsia="仿宋_GB2312"/>
                <w:sz w:val="24"/>
                <w:szCs w:val="24"/>
              </w:rPr>
            </w:pPr>
            <w:r>
              <w:rPr>
                <w:rFonts w:ascii="仿宋_GB2312" w:eastAsia="仿宋_GB2312"/>
                <w:sz w:val="24"/>
                <w:szCs w:val="24"/>
              </w:rPr>
              <w:t>42.44</w:t>
            </w:r>
          </w:p>
        </w:tc>
      </w:tr>
      <w:tr>
        <w:tblPrEx>
          <w:tblCellMar>
            <w:top w:w="0" w:type="dxa"/>
            <w:left w:w="108" w:type="dxa"/>
            <w:bottom w:w="0" w:type="dxa"/>
            <w:right w:w="108" w:type="dxa"/>
          </w:tblCellMar>
        </w:tblPrEx>
        <w:trPr>
          <w:trHeight w:val="567" w:hRule="atLeast"/>
        </w:trPr>
        <w:tc>
          <w:tcPr>
            <w:tcW w:w="517" w:type="pct"/>
            <w:tcBorders>
              <w:top w:val="nil"/>
              <w:left w:val="single" w:color="auto" w:sz="8" w:space="0"/>
              <w:bottom w:val="single" w:color="auto" w:sz="8" w:space="0"/>
              <w:right w:val="single" w:color="auto" w:sz="8" w:space="0"/>
            </w:tcBorders>
            <w:shd w:val="clear" w:color="auto" w:fill="auto"/>
            <w:noWrap w:val="0"/>
            <w:vAlign w:val="center"/>
          </w:tcPr>
          <w:p>
            <w:pPr>
              <w:pStyle w:val="14"/>
              <w:spacing w:line="560" w:lineRule="exact"/>
              <w:contextualSpacing/>
              <w:rPr>
                <w:rFonts w:ascii="仿宋_GB2312" w:eastAsia="仿宋_GB2312"/>
                <w:sz w:val="24"/>
                <w:szCs w:val="24"/>
              </w:rPr>
            </w:pPr>
            <w:r>
              <w:rPr>
                <w:rFonts w:ascii="仿宋_GB2312" w:eastAsia="仿宋_GB2312"/>
                <w:sz w:val="24"/>
                <w:szCs w:val="24"/>
              </w:rPr>
              <w:t>8</w:t>
            </w:r>
          </w:p>
        </w:tc>
        <w:tc>
          <w:tcPr>
            <w:tcW w:w="1353" w:type="pct"/>
            <w:tcBorders>
              <w:top w:val="nil"/>
              <w:left w:val="nil"/>
              <w:bottom w:val="single" w:color="auto" w:sz="8" w:space="0"/>
              <w:right w:val="single" w:color="auto" w:sz="8" w:space="0"/>
            </w:tcBorders>
            <w:shd w:val="clear" w:color="auto" w:fill="auto"/>
            <w:noWrap w:val="0"/>
            <w:vAlign w:val="center"/>
          </w:tcPr>
          <w:p>
            <w:pPr>
              <w:pStyle w:val="14"/>
              <w:spacing w:line="560" w:lineRule="exact"/>
              <w:contextualSpacing/>
              <w:rPr>
                <w:rFonts w:ascii="仿宋_GB2312" w:eastAsia="仿宋_GB2312"/>
                <w:sz w:val="24"/>
                <w:szCs w:val="24"/>
              </w:rPr>
            </w:pPr>
            <w:r>
              <w:rPr>
                <w:rFonts w:hint="eastAsia" w:ascii="仿宋_GB2312" w:eastAsia="仿宋_GB2312"/>
                <w:sz w:val="24"/>
                <w:szCs w:val="24"/>
              </w:rPr>
              <w:t>泥炭</w:t>
            </w:r>
          </w:p>
        </w:tc>
        <w:tc>
          <w:tcPr>
            <w:tcW w:w="1100" w:type="pct"/>
            <w:tcBorders>
              <w:top w:val="nil"/>
              <w:left w:val="nil"/>
              <w:bottom w:val="single" w:color="auto" w:sz="8" w:space="0"/>
              <w:right w:val="single" w:color="auto" w:sz="8" w:space="0"/>
            </w:tcBorders>
            <w:shd w:val="clear" w:color="auto" w:fill="auto"/>
            <w:noWrap w:val="0"/>
            <w:vAlign w:val="center"/>
          </w:tcPr>
          <w:p>
            <w:pPr>
              <w:pStyle w:val="14"/>
              <w:spacing w:line="560" w:lineRule="exact"/>
              <w:contextualSpacing/>
              <w:rPr>
                <w:rFonts w:ascii="仿宋_GB2312" w:eastAsia="仿宋_GB2312"/>
                <w:sz w:val="24"/>
                <w:szCs w:val="24"/>
              </w:rPr>
            </w:pPr>
            <w:r>
              <w:rPr>
                <w:rFonts w:ascii="仿宋_GB2312" w:eastAsia="仿宋_GB2312"/>
                <w:sz w:val="24"/>
                <w:szCs w:val="24"/>
              </w:rPr>
              <w:t>1</w:t>
            </w:r>
          </w:p>
        </w:tc>
        <w:tc>
          <w:tcPr>
            <w:tcW w:w="2030" w:type="pct"/>
            <w:tcBorders>
              <w:top w:val="nil"/>
              <w:left w:val="nil"/>
              <w:bottom w:val="single" w:color="auto" w:sz="8" w:space="0"/>
              <w:right w:val="single" w:color="auto" w:sz="8" w:space="0"/>
            </w:tcBorders>
            <w:shd w:val="clear" w:color="auto" w:fill="auto"/>
            <w:noWrap w:val="0"/>
            <w:vAlign w:val="center"/>
          </w:tcPr>
          <w:p>
            <w:pPr>
              <w:pStyle w:val="14"/>
              <w:spacing w:line="560" w:lineRule="exact"/>
              <w:contextualSpacing/>
              <w:rPr>
                <w:rFonts w:ascii="仿宋_GB2312" w:eastAsia="仿宋_GB2312"/>
                <w:sz w:val="24"/>
                <w:szCs w:val="24"/>
              </w:rPr>
            </w:pPr>
            <w:r>
              <w:rPr>
                <w:rFonts w:ascii="仿宋_GB2312" w:eastAsia="仿宋_GB2312"/>
                <w:sz w:val="24"/>
                <w:szCs w:val="24"/>
              </w:rPr>
              <w:t>9.76</w:t>
            </w:r>
          </w:p>
        </w:tc>
      </w:tr>
      <w:tr>
        <w:tblPrEx>
          <w:tblCellMar>
            <w:top w:w="0" w:type="dxa"/>
            <w:left w:w="108" w:type="dxa"/>
            <w:bottom w:w="0" w:type="dxa"/>
            <w:right w:w="108" w:type="dxa"/>
          </w:tblCellMar>
        </w:tblPrEx>
        <w:trPr>
          <w:trHeight w:val="567" w:hRule="atLeast"/>
        </w:trPr>
        <w:tc>
          <w:tcPr>
            <w:tcW w:w="517" w:type="pct"/>
            <w:tcBorders>
              <w:top w:val="nil"/>
              <w:left w:val="single" w:color="auto" w:sz="8" w:space="0"/>
              <w:bottom w:val="single" w:color="auto" w:sz="8" w:space="0"/>
              <w:right w:val="single" w:color="auto" w:sz="8" w:space="0"/>
            </w:tcBorders>
            <w:shd w:val="clear" w:color="auto" w:fill="auto"/>
            <w:noWrap w:val="0"/>
            <w:vAlign w:val="center"/>
          </w:tcPr>
          <w:p>
            <w:pPr>
              <w:pStyle w:val="14"/>
              <w:spacing w:line="560" w:lineRule="exact"/>
              <w:contextualSpacing/>
              <w:rPr>
                <w:rFonts w:ascii="仿宋_GB2312" w:eastAsia="仿宋_GB2312"/>
                <w:sz w:val="24"/>
                <w:szCs w:val="24"/>
              </w:rPr>
            </w:pPr>
            <w:r>
              <w:rPr>
                <w:rFonts w:ascii="仿宋_GB2312" w:eastAsia="仿宋_GB2312"/>
                <w:sz w:val="24"/>
                <w:szCs w:val="24"/>
              </w:rPr>
              <w:t>9</w:t>
            </w:r>
          </w:p>
        </w:tc>
        <w:tc>
          <w:tcPr>
            <w:tcW w:w="1353" w:type="pct"/>
            <w:tcBorders>
              <w:top w:val="nil"/>
              <w:left w:val="nil"/>
              <w:bottom w:val="single" w:color="auto" w:sz="8" w:space="0"/>
              <w:right w:val="single" w:color="auto" w:sz="8" w:space="0"/>
            </w:tcBorders>
            <w:shd w:val="clear" w:color="auto" w:fill="auto"/>
            <w:noWrap w:val="0"/>
            <w:vAlign w:val="center"/>
          </w:tcPr>
          <w:p>
            <w:pPr>
              <w:pStyle w:val="14"/>
              <w:spacing w:line="560" w:lineRule="exact"/>
              <w:contextualSpacing/>
              <w:rPr>
                <w:rFonts w:ascii="仿宋_GB2312" w:eastAsia="仿宋_GB2312"/>
                <w:sz w:val="24"/>
                <w:szCs w:val="24"/>
              </w:rPr>
            </w:pPr>
            <w:r>
              <w:rPr>
                <w:rFonts w:hint="eastAsia" w:ascii="仿宋_GB2312" w:eastAsia="仿宋_GB2312"/>
                <w:sz w:val="24"/>
                <w:szCs w:val="24"/>
              </w:rPr>
              <w:t>蛇纹岩</w:t>
            </w:r>
          </w:p>
        </w:tc>
        <w:tc>
          <w:tcPr>
            <w:tcW w:w="1100" w:type="pct"/>
            <w:tcBorders>
              <w:top w:val="nil"/>
              <w:left w:val="nil"/>
              <w:bottom w:val="single" w:color="auto" w:sz="8" w:space="0"/>
              <w:right w:val="single" w:color="auto" w:sz="8" w:space="0"/>
            </w:tcBorders>
            <w:shd w:val="clear" w:color="auto" w:fill="auto"/>
            <w:noWrap w:val="0"/>
            <w:vAlign w:val="center"/>
          </w:tcPr>
          <w:p>
            <w:pPr>
              <w:pStyle w:val="14"/>
              <w:spacing w:line="560" w:lineRule="exact"/>
              <w:contextualSpacing/>
              <w:rPr>
                <w:rFonts w:ascii="仿宋_GB2312" w:eastAsia="仿宋_GB2312"/>
                <w:sz w:val="24"/>
                <w:szCs w:val="24"/>
              </w:rPr>
            </w:pPr>
            <w:r>
              <w:rPr>
                <w:rFonts w:ascii="仿宋_GB2312" w:eastAsia="仿宋_GB2312"/>
                <w:sz w:val="24"/>
                <w:szCs w:val="24"/>
              </w:rPr>
              <w:t>1</w:t>
            </w:r>
          </w:p>
        </w:tc>
        <w:tc>
          <w:tcPr>
            <w:tcW w:w="2030" w:type="pct"/>
            <w:tcBorders>
              <w:top w:val="nil"/>
              <w:left w:val="nil"/>
              <w:bottom w:val="single" w:color="auto" w:sz="8" w:space="0"/>
              <w:right w:val="single" w:color="auto" w:sz="8" w:space="0"/>
            </w:tcBorders>
            <w:shd w:val="clear" w:color="auto" w:fill="auto"/>
            <w:noWrap w:val="0"/>
            <w:vAlign w:val="center"/>
          </w:tcPr>
          <w:p>
            <w:pPr>
              <w:pStyle w:val="14"/>
              <w:spacing w:line="560" w:lineRule="exact"/>
              <w:contextualSpacing/>
              <w:rPr>
                <w:rFonts w:ascii="仿宋_GB2312" w:eastAsia="仿宋_GB2312"/>
                <w:sz w:val="24"/>
                <w:szCs w:val="24"/>
              </w:rPr>
            </w:pPr>
            <w:r>
              <w:rPr>
                <w:rFonts w:ascii="仿宋_GB2312" w:eastAsia="仿宋_GB2312"/>
                <w:sz w:val="24"/>
                <w:szCs w:val="24"/>
              </w:rPr>
              <w:t xml:space="preserve">4.50 </w:t>
            </w:r>
          </w:p>
        </w:tc>
      </w:tr>
      <w:tr>
        <w:tblPrEx>
          <w:tblCellMar>
            <w:top w:w="0" w:type="dxa"/>
            <w:left w:w="108" w:type="dxa"/>
            <w:bottom w:w="0" w:type="dxa"/>
            <w:right w:w="108" w:type="dxa"/>
          </w:tblCellMar>
        </w:tblPrEx>
        <w:trPr>
          <w:trHeight w:val="567" w:hRule="atLeast"/>
        </w:trPr>
        <w:tc>
          <w:tcPr>
            <w:tcW w:w="517" w:type="pct"/>
            <w:tcBorders>
              <w:top w:val="nil"/>
              <w:left w:val="single" w:color="auto" w:sz="8" w:space="0"/>
              <w:bottom w:val="single" w:color="auto" w:sz="8" w:space="0"/>
              <w:right w:val="single" w:color="auto" w:sz="8" w:space="0"/>
            </w:tcBorders>
            <w:shd w:val="clear" w:color="auto" w:fill="auto"/>
            <w:noWrap w:val="0"/>
            <w:vAlign w:val="center"/>
          </w:tcPr>
          <w:p>
            <w:pPr>
              <w:pStyle w:val="14"/>
              <w:spacing w:line="560" w:lineRule="exact"/>
              <w:contextualSpacing/>
              <w:rPr>
                <w:rFonts w:ascii="仿宋_GB2312" w:eastAsia="仿宋_GB2312"/>
                <w:sz w:val="24"/>
                <w:szCs w:val="24"/>
              </w:rPr>
            </w:pPr>
            <w:r>
              <w:rPr>
                <w:rFonts w:ascii="仿宋_GB2312" w:eastAsia="仿宋_GB2312"/>
                <w:sz w:val="24"/>
                <w:szCs w:val="24"/>
              </w:rPr>
              <w:t>10</w:t>
            </w:r>
          </w:p>
        </w:tc>
        <w:tc>
          <w:tcPr>
            <w:tcW w:w="1353" w:type="pct"/>
            <w:tcBorders>
              <w:top w:val="nil"/>
              <w:left w:val="nil"/>
              <w:bottom w:val="single" w:color="auto" w:sz="8" w:space="0"/>
              <w:right w:val="single" w:color="auto" w:sz="8" w:space="0"/>
            </w:tcBorders>
            <w:shd w:val="clear" w:color="auto" w:fill="auto"/>
            <w:noWrap w:val="0"/>
            <w:vAlign w:val="center"/>
          </w:tcPr>
          <w:p>
            <w:pPr>
              <w:pStyle w:val="14"/>
              <w:spacing w:line="560" w:lineRule="exact"/>
              <w:contextualSpacing/>
              <w:rPr>
                <w:rFonts w:ascii="仿宋_GB2312" w:eastAsia="仿宋_GB2312"/>
                <w:sz w:val="24"/>
                <w:szCs w:val="24"/>
              </w:rPr>
            </w:pPr>
            <w:r>
              <w:rPr>
                <w:rFonts w:hint="eastAsia" w:ascii="仿宋_GB2312" w:eastAsia="仿宋_GB2312"/>
                <w:sz w:val="24"/>
                <w:szCs w:val="24"/>
              </w:rPr>
              <w:t>叶蜡石</w:t>
            </w:r>
          </w:p>
        </w:tc>
        <w:tc>
          <w:tcPr>
            <w:tcW w:w="1100" w:type="pct"/>
            <w:tcBorders>
              <w:top w:val="nil"/>
              <w:left w:val="nil"/>
              <w:bottom w:val="single" w:color="auto" w:sz="8" w:space="0"/>
              <w:right w:val="single" w:color="auto" w:sz="8" w:space="0"/>
            </w:tcBorders>
            <w:shd w:val="clear" w:color="auto" w:fill="auto"/>
            <w:noWrap w:val="0"/>
            <w:vAlign w:val="center"/>
          </w:tcPr>
          <w:p>
            <w:pPr>
              <w:pStyle w:val="14"/>
              <w:spacing w:line="560" w:lineRule="exact"/>
              <w:contextualSpacing/>
              <w:rPr>
                <w:rFonts w:ascii="仿宋_GB2312" w:eastAsia="仿宋_GB2312"/>
                <w:sz w:val="24"/>
                <w:szCs w:val="24"/>
              </w:rPr>
            </w:pPr>
            <w:r>
              <w:rPr>
                <w:rFonts w:ascii="仿宋_GB2312" w:eastAsia="仿宋_GB2312"/>
                <w:sz w:val="24"/>
                <w:szCs w:val="24"/>
              </w:rPr>
              <w:t>2</w:t>
            </w:r>
          </w:p>
        </w:tc>
        <w:tc>
          <w:tcPr>
            <w:tcW w:w="2030" w:type="pct"/>
            <w:tcBorders>
              <w:top w:val="nil"/>
              <w:left w:val="nil"/>
              <w:bottom w:val="single" w:color="auto" w:sz="8" w:space="0"/>
              <w:right w:val="single" w:color="auto" w:sz="8" w:space="0"/>
            </w:tcBorders>
            <w:shd w:val="clear" w:color="auto" w:fill="auto"/>
            <w:noWrap w:val="0"/>
            <w:vAlign w:val="center"/>
          </w:tcPr>
          <w:p>
            <w:pPr>
              <w:pStyle w:val="14"/>
              <w:spacing w:line="560" w:lineRule="exact"/>
              <w:contextualSpacing/>
              <w:rPr>
                <w:rFonts w:ascii="仿宋_GB2312" w:eastAsia="仿宋_GB2312"/>
                <w:sz w:val="24"/>
                <w:szCs w:val="24"/>
              </w:rPr>
            </w:pPr>
            <w:r>
              <w:rPr>
                <w:rFonts w:ascii="仿宋_GB2312" w:eastAsia="仿宋_GB2312"/>
                <w:sz w:val="24"/>
                <w:szCs w:val="24"/>
              </w:rPr>
              <w:t>5.00</w:t>
            </w:r>
          </w:p>
        </w:tc>
      </w:tr>
      <w:tr>
        <w:tblPrEx>
          <w:tblCellMar>
            <w:top w:w="0" w:type="dxa"/>
            <w:left w:w="108" w:type="dxa"/>
            <w:bottom w:w="0" w:type="dxa"/>
            <w:right w:w="108" w:type="dxa"/>
          </w:tblCellMar>
        </w:tblPrEx>
        <w:trPr>
          <w:trHeight w:val="567" w:hRule="atLeast"/>
        </w:trPr>
        <w:tc>
          <w:tcPr>
            <w:tcW w:w="517" w:type="pct"/>
            <w:tcBorders>
              <w:top w:val="nil"/>
              <w:left w:val="single" w:color="auto" w:sz="8" w:space="0"/>
              <w:bottom w:val="single" w:color="auto" w:sz="8" w:space="0"/>
              <w:right w:val="single" w:color="auto" w:sz="8" w:space="0"/>
            </w:tcBorders>
            <w:shd w:val="clear" w:color="auto" w:fill="auto"/>
            <w:noWrap w:val="0"/>
            <w:vAlign w:val="center"/>
          </w:tcPr>
          <w:p>
            <w:pPr>
              <w:pStyle w:val="14"/>
              <w:spacing w:line="560" w:lineRule="exact"/>
              <w:contextualSpacing/>
              <w:rPr>
                <w:rFonts w:ascii="仿宋_GB2312" w:eastAsia="仿宋_GB2312"/>
                <w:sz w:val="24"/>
                <w:szCs w:val="24"/>
              </w:rPr>
            </w:pPr>
            <w:r>
              <w:rPr>
                <w:rFonts w:ascii="仿宋_GB2312" w:eastAsia="仿宋_GB2312"/>
                <w:sz w:val="24"/>
                <w:szCs w:val="24"/>
              </w:rPr>
              <w:t>11</w:t>
            </w:r>
          </w:p>
        </w:tc>
        <w:tc>
          <w:tcPr>
            <w:tcW w:w="1353" w:type="pct"/>
            <w:tcBorders>
              <w:top w:val="nil"/>
              <w:left w:val="nil"/>
              <w:bottom w:val="single" w:color="auto" w:sz="8" w:space="0"/>
              <w:right w:val="single" w:color="auto" w:sz="8" w:space="0"/>
            </w:tcBorders>
            <w:shd w:val="clear" w:color="auto" w:fill="auto"/>
            <w:noWrap w:val="0"/>
            <w:vAlign w:val="center"/>
          </w:tcPr>
          <w:p>
            <w:pPr>
              <w:pStyle w:val="14"/>
              <w:spacing w:line="560" w:lineRule="exact"/>
              <w:contextualSpacing/>
              <w:rPr>
                <w:rFonts w:ascii="仿宋_GB2312" w:eastAsia="仿宋_GB2312"/>
                <w:sz w:val="24"/>
                <w:szCs w:val="24"/>
              </w:rPr>
            </w:pPr>
            <w:r>
              <w:rPr>
                <w:rFonts w:hint="eastAsia" w:ascii="仿宋_GB2312" w:eastAsia="仿宋_GB2312"/>
                <w:sz w:val="24"/>
                <w:szCs w:val="24"/>
              </w:rPr>
              <w:t>页岩</w:t>
            </w:r>
          </w:p>
        </w:tc>
        <w:tc>
          <w:tcPr>
            <w:tcW w:w="1100" w:type="pct"/>
            <w:tcBorders>
              <w:top w:val="nil"/>
              <w:left w:val="nil"/>
              <w:bottom w:val="single" w:color="auto" w:sz="8" w:space="0"/>
              <w:right w:val="single" w:color="auto" w:sz="8" w:space="0"/>
            </w:tcBorders>
            <w:shd w:val="clear" w:color="auto" w:fill="auto"/>
            <w:noWrap w:val="0"/>
            <w:vAlign w:val="center"/>
          </w:tcPr>
          <w:p>
            <w:pPr>
              <w:pStyle w:val="14"/>
              <w:spacing w:line="560" w:lineRule="exact"/>
              <w:contextualSpacing/>
              <w:rPr>
                <w:rFonts w:ascii="仿宋_GB2312" w:eastAsia="仿宋_GB2312"/>
                <w:sz w:val="24"/>
                <w:szCs w:val="24"/>
              </w:rPr>
            </w:pPr>
            <w:r>
              <w:rPr>
                <w:rFonts w:ascii="仿宋_GB2312" w:eastAsia="仿宋_GB2312"/>
                <w:sz w:val="24"/>
                <w:szCs w:val="24"/>
              </w:rPr>
              <w:t>1</w:t>
            </w:r>
          </w:p>
        </w:tc>
        <w:tc>
          <w:tcPr>
            <w:tcW w:w="2030" w:type="pct"/>
            <w:tcBorders>
              <w:top w:val="nil"/>
              <w:left w:val="nil"/>
              <w:bottom w:val="single" w:color="auto" w:sz="8" w:space="0"/>
              <w:right w:val="single" w:color="auto" w:sz="8" w:space="0"/>
            </w:tcBorders>
            <w:shd w:val="clear" w:color="auto" w:fill="auto"/>
            <w:noWrap w:val="0"/>
            <w:vAlign w:val="center"/>
          </w:tcPr>
          <w:p>
            <w:pPr>
              <w:pStyle w:val="14"/>
              <w:spacing w:line="560" w:lineRule="exact"/>
              <w:contextualSpacing/>
              <w:rPr>
                <w:rFonts w:ascii="仿宋_GB2312" w:eastAsia="仿宋_GB2312"/>
                <w:sz w:val="24"/>
                <w:szCs w:val="24"/>
              </w:rPr>
            </w:pPr>
            <w:r>
              <w:rPr>
                <w:rFonts w:ascii="仿宋_GB2312" w:eastAsia="仿宋_GB2312"/>
                <w:sz w:val="24"/>
                <w:szCs w:val="24"/>
              </w:rPr>
              <w:t>5.30</w:t>
            </w:r>
          </w:p>
        </w:tc>
      </w:tr>
      <w:tr>
        <w:tblPrEx>
          <w:tblCellMar>
            <w:top w:w="0" w:type="dxa"/>
            <w:left w:w="108" w:type="dxa"/>
            <w:bottom w:w="0" w:type="dxa"/>
            <w:right w:w="108" w:type="dxa"/>
          </w:tblCellMar>
        </w:tblPrEx>
        <w:trPr>
          <w:trHeight w:val="567" w:hRule="atLeast"/>
        </w:trPr>
        <w:tc>
          <w:tcPr>
            <w:tcW w:w="517" w:type="pct"/>
            <w:tcBorders>
              <w:top w:val="nil"/>
              <w:left w:val="single" w:color="auto" w:sz="8" w:space="0"/>
              <w:bottom w:val="single" w:color="auto" w:sz="8" w:space="0"/>
              <w:right w:val="single" w:color="auto" w:sz="8" w:space="0"/>
            </w:tcBorders>
            <w:shd w:val="clear" w:color="auto" w:fill="auto"/>
            <w:noWrap w:val="0"/>
            <w:vAlign w:val="center"/>
          </w:tcPr>
          <w:p>
            <w:pPr>
              <w:pStyle w:val="14"/>
              <w:spacing w:line="560" w:lineRule="exact"/>
              <w:contextualSpacing/>
              <w:rPr>
                <w:rFonts w:ascii="仿宋_GB2312" w:eastAsia="仿宋_GB2312"/>
                <w:sz w:val="24"/>
                <w:szCs w:val="24"/>
              </w:rPr>
            </w:pPr>
            <w:r>
              <w:rPr>
                <w:rFonts w:ascii="仿宋_GB2312" w:eastAsia="仿宋_GB2312"/>
                <w:sz w:val="24"/>
                <w:szCs w:val="24"/>
              </w:rPr>
              <w:t>12</w:t>
            </w:r>
          </w:p>
        </w:tc>
        <w:tc>
          <w:tcPr>
            <w:tcW w:w="1353" w:type="pct"/>
            <w:tcBorders>
              <w:top w:val="nil"/>
              <w:left w:val="nil"/>
              <w:bottom w:val="single" w:color="auto" w:sz="8" w:space="0"/>
              <w:right w:val="single" w:color="auto" w:sz="8" w:space="0"/>
            </w:tcBorders>
            <w:shd w:val="clear" w:color="auto" w:fill="auto"/>
            <w:noWrap w:val="0"/>
            <w:vAlign w:val="center"/>
          </w:tcPr>
          <w:p>
            <w:pPr>
              <w:pStyle w:val="14"/>
              <w:spacing w:line="560" w:lineRule="exact"/>
              <w:contextualSpacing/>
              <w:rPr>
                <w:rFonts w:ascii="仿宋_GB2312" w:eastAsia="仿宋_GB2312"/>
                <w:sz w:val="24"/>
                <w:szCs w:val="24"/>
              </w:rPr>
            </w:pPr>
            <w:r>
              <w:rPr>
                <w:rFonts w:hint="eastAsia" w:ascii="仿宋_GB2312" w:eastAsia="仿宋_GB2312"/>
                <w:sz w:val="24"/>
                <w:szCs w:val="24"/>
              </w:rPr>
              <w:t>饰面用花岗岩</w:t>
            </w:r>
          </w:p>
        </w:tc>
        <w:tc>
          <w:tcPr>
            <w:tcW w:w="1100" w:type="pct"/>
            <w:tcBorders>
              <w:top w:val="nil"/>
              <w:left w:val="nil"/>
              <w:bottom w:val="single" w:color="auto" w:sz="8" w:space="0"/>
              <w:right w:val="single" w:color="auto" w:sz="8" w:space="0"/>
            </w:tcBorders>
            <w:shd w:val="clear" w:color="auto" w:fill="auto"/>
            <w:noWrap w:val="0"/>
            <w:vAlign w:val="center"/>
          </w:tcPr>
          <w:p>
            <w:pPr>
              <w:pStyle w:val="14"/>
              <w:spacing w:line="560" w:lineRule="exact"/>
              <w:contextualSpacing/>
              <w:rPr>
                <w:rFonts w:ascii="仿宋_GB2312" w:eastAsia="仿宋_GB2312"/>
                <w:sz w:val="24"/>
                <w:szCs w:val="24"/>
              </w:rPr>
            </w:pPr>
            <w:r>
              <w:rPr>
                <w:rFonts w:ascii="仿宋_GB2312" w:eastAsia="仿宋_GB2312"/>
                <w:sz w:val="24"/>
                <w:szCs w:val="24"/>
              </w:rPr>
              <w:t>3</w:t>
            </w:r>
          </w:p>
        </w:tc>
        <w:tc>
          <w:tcPr>
            <w:tcW w:w="2030" w:type="pct"/>
            <w:tcBorders>
              <w:top w:val="nil"/>
              <w:left w:val="nil"/>
              <w:bottom w:val="single" w:color="auto" w:sz="8" w:space="0"/>
              <w:right w:val="single" w:color="auto" w:sz="8" w:space="0"/>
            </w:tcBorders>
            <w:shd w:val="clear" w:color="auto" w:fill="auto"/>
            <w:noWrap w:val="0"/>
            <w:vAlign w:val="center"/>
          </w:tcPr>
          <w:p>
            <w:pPr>
              <w:pStyle w:val="14"/>
              <w:spacing w:line="560" w:lineRule="exact"/>
              <w:contextualSpacing/>
              <w:rPr>
                <w:rFonts w:ascii="仿宋_GB2312" w:eastAsia="仿宋_GB2312"/>
                <w:sz w:val="24"/>
                <w:szCs w:val="24"/>
              </w:rPr>
            </w:pPr>
            <w:r>
              <w:rPr>
                <w:rFonts w:ascii="仿宋_GB2312" w:eastAsia="仿宋_GB2312"/>
                <w:sz w:val="24"/>
                <w:szCs w:val="24"/>
              </w:rPr>
              <w:t xml:space="preserve">4.67 </w:t>
            </w:r>
          </w:p>
        </w:tc>
      </w:tr>
      <w:tr>
        <w:tblPrEx>
          <w:tblCellMar>
            <w:top w:w="0" w:type="dxa"/>
            <w:left w:w="108" w:type="dxa"/>
            <w:bottom w:w="0" w:type="dxa"/>
            <w:right w:w="108" w:type="dxa"/>
          </w:tblCellMar>
        </w:tblPrEx>
        <w:trPr>
          <w:trHeight w:val="567" w:hRule="atLeast"/>
        </w:trPr>
        <w:tc>
          <w:tcPr>
            <w:tcW w:w="517" w:type="pct"/>
            <w:tcBorders>
              <w:top w:val="nil"/>
              <w:left w:val="single" w:color="auto" w:sz="8" w:space="0"/>
              <w:bottom w:val="single" w:color="auto" w:sz="8" w:space="0"/>
              <w:right w:val="single" w:color="auto" w:sz="8" w:space="0"/>
            </w:tcBorders>
            <w:shd w:val="clear" w:color="auto" w:fill="auto"/>
            <w:noWrap w:val="0"/>
            <w:vAlign w:val="center"/>
          </w:tcPr>
          <w:p>
            <w:pPr>
              <w:pStyle w:val="14"/>
              <w:spacing w:line="560" w:lineRule="exact"/>
              <w:contextualSpacing/>
              <w:rPr>
                <w:rFonts w:ascii="仿宋_GB2312" w:eastAsia="仿宋_GB2312"/>
                <w:sz w:val="24"/>
                <w:szCs w:val="24"/>
              </w:rPr>
            </w:pPr>
            <w:r>
              <w:rPr>
                <w:rFonts w:ascii="仿宋_GB2312" w:eastAsia="仿宋_GB2312"/>
                <w:sz w:val="24"/>
                <w:szCs w:val="24"/>
              </w:rPr>
              <w:t>13</w:t>
            </w:r>
          </w:p>
        </w:tc>
        <w:tc>
          <w:tcPr>
            <w:tcW w:w="1353" w:type="pct"/>
            <w:tcBorders>
              <w:top w:val="nil"/>
              <w:left w:val="nil"/>
              <w:bottom w:val="single" w:color="auto" w:sz="8" w:space="0"/>
              <w:right w:val="single" w:color="auto" w:sz="8" w:space="0"/>
            </w:tcBorders>
            <w:shd w:val="clear" w:color="auto" w:fill="auto"/>
            <w:noWrap w:val="0"/>
            <w:vAlign w:val="center"/>
          </w:tcPr>
          <w:p>
            <w:pPr>
              <w:pStyle w:val="14"/>
              <w:spacing w:line="560" w:lineRule="exact"/>
              <w:contextualSpacing/>
              <w:rPr>
                <w:rFonts w:ascii="仿宋_GB2312" w:eastAsia="仿宋_GB2312"/>
                <w:sz w:val="24"/>
                <w:szCs w:val="24"/>
              </w:rPr>
            </w:pPr>
            <w:r>
              <w:rPr>
                <w:rFonts w:hint="eastAsia" w:ascii="仿宋_GB2312" w:eastAsia="仿宋_GB2312"/>
                <w:sz w:val="24"/>
                <w:szCs w:val="24"/>
              </w:rPr>
              <w:t>铸石用玄武岩</w:t>
            </w:r>
          </w:p>
        </w:tc>
        <w:tc>
          <w:tcPr>
            <w:tcW w:w="1100" w:type="pct"/>
            <w:tcBorders>
              <w:top w:val="nil"/>
              <w:left w:val="nil"/>
              <w:bottom w:val="single" w:color="auto" w:sz="8" w:space="0"/>
              <w:right w:val="single" w:color="auto" w:sz="8" w:space="0"/>
            </w:tcBorders>
            <w:shd w:val="clear" w:color="auto" w:fill="auto"/>
            <w:noWrap w:val="0"/>
            <w:vAlign w:val="center"/>
          </w:tcPr>
          <w:p>
            <w:pPr>
              <w:pStyle w:val="14"/>
              <w:spacing w:line="560" w:lineRule="exact"/>
              <w:contextualSpacing/>
              <w:rPr>
                <w:rFonts w:ascii="仿宋_GB2312" w:eastAsia="仿宋_GB2312"/>
                <w:sz w:val="24"/>
                <w:szCs w:val="24"/>
              </w:rPr>
            </w:pPr>
            <w:r>
              <w:rPr>
                <w:rFonts w:ascii="仿宋_GB2312" w:eastAsia="仿宋_GB2312"/>
                <w:sz w:val="24"/>
                <w:szCs w:val="24"/>
              </w:rPr>
              <w:t>1</w:t>
            </w:r>
          </w:p>
        </w:tc>
        <w:tc>
          <w:tcPr>
            <w:tcW w:w="2030" w:type="pct"/>
            <w:tcBorders>
              <w:top w:val="nil"/>
              <w:left w:val="nil"/>
              <w:bottom w:val="single" w:color="auto" w:sz="8" w:space="0"/>
              <w:right w:val="single" w:color="auto" w:sz="8" w:space="0"/>
            </w:tcBorders>
            <w:shd w:val="clear" w:color="auto" w:fill="auto"/>
            <w:noWrap w:val="0"/>
            <w:vAlign w:val="center"/>
          </w:tcPr>
          <w:p>
            <w:pPr>
              <w:pStyle w:val="14"/>
              <w:spacing w:line="560" w:lineRule="exact"/>
              <w:contextualSpacing/>
              <w:rPr>
                <w:rFonts w:ascii="仿宋_GB2312" w:eastAsia="仿宋_GB2312"/>
                <w:sz w:val="24"/>
                <w:szCs w:val="24"/>
              </w:rPr>
            </w:pPr>
            <w:r>
              <w:rPr>
                <w:rFonts w:ascii="仿宋_GB2312" w:eastAsia="仿宋_GB2312"/>
                <w:sz w:val="24"/>
                <w:szCs w:val="24"/>
              </w:rPr>
              <w:t>2.48</w:t>
            </w:r>
          </w:p>
        </w:tc>
      </w:tr>
      <w:tr>
        <w:tblPrEx>
          <w:tblCellMar>
            <w:top w:w="0" w:type="dxa"/>
            <w:left w:w="108" w:type="dxa"/>
            <w:bottom w:w="0" w:type="dxa"/>
            <w:right w:w="108" w:type="dxa"/>
          </w:tblCellMar>
        </w:tblPrEx>
        <w:trPr>
          <w:trHeight w:val="567" w:hRule="atLeast"/>
        </w:trPr>
        <w:tc>
          <w:tcPr>
            <w:tcW w:w="517" w:type="pct"/>
            <w:tcBorders>
              <w:top w:val="nil"/>
              <w:left w:val="single" w:color="auto" w:sz="8" w:space="0"/>
              <w:bottom w:val="single" w:color="auto" w:sz="8" w:space="0"/>
              <w:right w:val="single" w:color="auto" w:sz="8" w:space="0"/>
            </w:tcBorders>
            <w:shd w:val="clear" w:color="auto" w:fill="auto"/>
            <w:noWrap w:val="0"/>
            <w:vAlign w:val="center"/>
          </w:tcPr>
          <w:p>
            <w:pPr>
              <w:pStyle w:val="14"/>
              <w:spacing w:line="560" w:lineRule="exact"/>
              <w:contextualSpacing/>
              <w:rPr>
                <w:rFonts w:ascii="仿宋_GB2312" w:eastAsia="仿宋_GB2312"/>
                <w:sz w:val="24"/>
                <w:szCs w:val="24"/>
              </w:rPr>
            </w:pPr>
            <w:r>
              <w:rPr>
                <w:rFonts w:ascii="仿宋_GB2312" w:eastAsia="仿宋_GB2312"/>
                <w:sz w:val="24"/>
                <w:szCs w:val="24"/>
              </w:rPr>
              <w:t>14</w:t>
            </w:r>
          </w:p>
        </w:tc>
        <w:tc>
          <w:tcPr>
            <w:tcW w:w="1353" w:type="pct"/>
            <w:tcBorders>
              <w:top w:val="nil"/>
              <w:left w:val="nil"/>
              <w:bottom w:val="single" w:color="auto" w:sz="8" w:space="0"/>
              <w:right w:val="single" w:color="auto" w:sz="8" w:space="0"/>
            </w:tcBorders>
            <w:shd w:val="clear" w:color="auto" w:fill="auto"/>
            <w:noWrap w:val="0"/>
            <w:vAlign w:val="center"/>
          </w:tcPr>
          <w:p>
            <w:pPr>
              <w:pStyle w:val="14"/>
              <w:spacing w:line="560" w:lineRule="exact"/>
              <w:contextualSpacing/>
              <w:rPr>
                <w:rFonts w:ascii="仿宋_GB2312" w:eastAsia="仿宋_GB2312"/>
                <w:sz w:val="24"/>
                <w:szCs w:val="24"/>
              </w:rPr>
            </w:pPr>
            <w:r>
              <w:rPr>
                <w:rFonts w:hint="eastAsia" w:ascii="仿宋_GB2312" w:eastAsia="仿宋_GB2312"/>
                <w:sz w:val="24"/>
                <w:szCs w:val="24"/>
              </w:rPr>
              <w:t>矿泉水</w:t>
            </w:r>
          </w:p>
        </w:tc>
        <w:tc>
          <w:tcPr>
            <w:tcW w:w="1100" w:type="pct"/>
            <w:tcBorders>
              <w:top w:val="nil"/>
              <w:left w:val="nil"/>
              <w:bottom w:val="single" w:color="auto" w:sz="8" w:space="0"/>
              <w:right w:val="single" w:color="auto" w:sz="8" w:space="0"/>
            </w:tcBorders>
            <w:shd w:val="clear" w:color="auto" w:fill="auto"/>
            <w:noWrap w:val="0"/>
            <w:vAlign w:val="center"/>
          </w:tcPr>
          <w:p>
            <w:pPr>
              <w:pStyle w:val="14"/>
              <w:spacing w:line="560" w:lineRule="exact"/>
              <w:contextualSpacing/>
              <w:rPr>
                <w:rFonts w:ascii="仿宋_GB2312" w:eastAsia="仿宋_GB2312"/>
                <w:sz w:val="24"/>
                <w:szCs w:val="24"/>
              </w:rPr>
            </w:pPr>
            <w:r>
              <w:rPr>
                <w:rFonts w:ascii="仿宋_GB2312" w:eastAsia="仿宋_GB2312"/>
                <w:sz w:val="24"/>
                <w:szCs w:val="24"/>
              </w:rPr>
              <w:t>1</w:t>
            </w:r>
          </w:p>
        </w:tc>
        <w:tc>
          <w:tcPr>
            <w:tcW w:w="2030" w:type="pct"/>
            <w:tcBorders>
              <w:top w:val="nil"/>
              <w:left w:val="nil"/>
              <w:bottom w:val="single" w:color="auto" w:sz="8" w:space="0"/>
              <w:right w:val="single" w:color="auto" w:sz="8" w:space="0"/>
            </w:tcBorders>
            <w:shd w:val="clear" w:color="auto" w:fill="auto"/>
            <w:noWrap w:val="0"/>
            <w:vAlign w:val="center"/>
          </w:tcPr>
          <w:p>
            <w:pPr>
              <w:pStyle w:val="14"/>
              <w:spacing w:line="560" w:lineRule="exact"/>
              <w:contextualSpacing/>
              <w:rPr>
                <w:rFonts w:ascii="仿宋_GB2312" w:eastAsia="仿宋_GB2312"/>
                <w:sz w:val="24"/>
                <w:szCs w:val="24"/>
              </w:rPr>
            </w:pPr>
            <w:r>
              <w:rPr>
                <w:rFonts w:ascii="仿宋_GB2312" w:eastAsia="仿宋_GB2312"/>
                <w:sz w:val="24"/>
                <w:szCs w:val="24"/>
              </w:rPr>
              <w:t>4.27</w:t>
            </w:r>
          </w:p>
        </w:tc>
      </w:tr>
      <w:tr>
        <w:tblPrEx>
          <w:tblCellMar>
            <w:top w:w="0" w:type="dxa"/>
            <w:left w:w="108" w:type="dxa"/>
            <w:bottom w:w="0" w:type="dxa"/>
            <w:right w:w="108" w:type="dxa"/>
          </w:tblCellMar>
        </w:tblPrEx>
        <w:trPr>
          <w:trHeight w:val="567" w:hRule="atLeast"/>
        </w:trPr>
        <w:tc>
          <w:tcPr>
            <w:tcW w:w="517" w:type="pct"/>
            <w:tcBorders>
              <w:top w:val="nil"/>
              <w:left w:val="single" w:color="auto" w:sz="8" w:space="0"/>
              <w:bottom w:val="single" w:color="auto" w:sz="8" w:space="0"/>
              <w:right w:val="single" w:color="auto" w:sz="8" w:space="0"/>
            </w:tcBorders>
            <w:shd w:val="clear" w:color="auto" w:fill="auto"/>
            <w:noWrap w:val="0"/>
            <w:vAlign w:val="center"/>
          </w:tcPr>
          <w:p>
            <w:pPr>
              <w:pStyle w:val="14"/>
              <w:spacing w:line="560" w:lineRule="exact"/>
              <w:contextualSpacing/>
              <w:rPr>
                <w:rFonts w:ascii="仿宋_GB2312" w:eastAsia="仿宋_GB2312"/>
                <w:sz w:val="24"/>
                <w:szCs w:val="24"/>
              </w:rPr>
            </w:pPr>
            <w:r>
              <w:rPr>
                <w:rFonts w:hint="eastAsia" w:ascii="仿宋_GB2312" w:eastAsia="仿宋_GB2312"/>
                <w:sz w:val="24"/>
                <w:szCs w:val="24"/>
              </w:rPr>
              <w:t>合计</w:t>
            </w:r>
          </w:p>
        </w:tc>
        <w:tc>
          <w:tcPr>
            <w:tcW w:w="1353" w:type="pct"/>
            <w:tcBorders>
              <w:top w:val="nil"/>
              <w:left w:val="nil"/>
              <w:bottom w:val="single" w:color="auto" w:sz="8" w:space="0"/>
              <w:right w:val="single" w:color="auto" w:sz="8" w:space="0"/>
            </w:tcBorders>
            <w:shd w:val="clear" w:color="auto" w:fill="auto"/>
            <w:noWrap w:val="0"/>
            <w:vAlign w:val="center"/>
          </w:tcPr>
          <w:p>
            <w:pPr>
              <w:pStyle w:val="14"/>
              <w:spacing w:line="560" w:lineRule="exact"/>
              <w:contextualSpacing/>
              <w:rPr>
                <w:rFonts w:ascii="仿宋_GB2312" w:eastAsia="仿宋_GB2312"/>
                <w:sz w:val="24"/>
                <w:szCs w:val="24"/>
              </w:rPr>
            </w:pPr>
          </w:p>
        </w:tc>
        <w:tc>
          <w:tcPr>
            <w:tcW w:w="1100" w:type="pct"/>
            <w:tcBorders>
              <w:top w:val="nil"/>
              <w:left w:val="nil"/>
              <w:bottom w:val="single" w:color="auto" w:sz="8" w:space="0"/>
              <w:right w:val="single" w:color="auto" w:sz="8" w:space="0"/>
            </w:tcBorders>
            <w:shd w:val="clear" w:color="auto" w:fill="auto"/>
            <w:noWrap w:val="0"/>
            <w:vAlign w:val="center"/>
          </w:tcPr>
          <w:p>
            <w:pPr>
              <w:pStyle w:val="14"/>
              <w:spacing w:line="560" w:lineRule="exact"/>
              <w:contextualSpacing/>
              <w:rPr>
                <w:rFonts w:ascii="仿宋_GB2312" w:eastAsia="仿宋_GB2312"/>
                <w:sz w:val="24"/>
                <w:szCs w:val="24"/>
              </w:rPr>
            </w:pPr>
            <w:r>
              <w:rPr>
                <w:rFonts w:ascii="仿宋_GB2312" w:eastAsia="仿宋_GB2312"/>
                <w:sz w:val="24"/>
                <w:szCs w:val="24"/>
              </w:rPr>
              <w:t>160</w:t>
            </w:r>
          </w:p>
        </w:tc>
        <w:tc>
          <w:tcPr>
            <w:tcW w:w="2030" w:type="pct"/>
            <w:tcBorders>
              <w:top w:val="nil"/>
              <w:left w:val="nil"/>
              <w:bottom w:val="single" w:color="auto" w:sz="8" w:space="0"/>
              <w:right w:val="single" w:color="auto" w:sz="8" w:space="0"/>
            </w:tcBorders>
            <w:shd w:val="clear" w:color="auto" w:fill="auto"/>
            <w:noWrap w:val="0"/>
            <w:vAlign w:val="center"/>
          </w:tcPr>
          <w:p>
            <w:pPr>
              <w:pStyle w:val="14"/>
              <w:spacing w:line="560" w:lineRule="exact"/>
              <w:contextualSpacing/>
              <w:rPr>
                <w:rFonts w:ascii="仿宋_GB2312" w:eastAsia="仿宋_GB2312"/>
                <w:sz w:val="24"/>
                <w:szCs w:val="24"/>
              </w:rPr>
            </w:pPr>
            <w:r>
              <w:rPr>
                <w:rFonts w:ascii="仿宋_GB2312" w:eastAsia="仿宋_GB2312"/>
                <w:sz w:val="24"/>
                <w:szCs w:val="24"/>
              </w:rPr>
              <w:t>1285.79</w:t>
            </w:r>
          </w:p>
        </w:tc>
      </w:tr>
    </w:tbl>
    <w:p>
      <w:pPr>
        <w:pStyle w:val="5"/>
        <w:ind w:firstLine="640"/>
        <w:rPr>
          <w:szCs w:val="32"/>
        </w:rPr>
      </w:pPr>
    </w:p>
    <w:p>
      <w:pPr>
        <w:pStyle w:val="5"/>
        <w:ind w:firstLine="640"/>
        <w:rPr>
          <w:szCs w:val="32"/>
        </w:rPr>
      </w:pPr>
      <w:r>
        <w:rPr>
          <w:rFonts w:hint="eastAsia"/>
          <w:szCs w:val="32"/>
        </w:rPr>
        <w:t>二、矿产资源开采监督管理</w:t>
      </w:r>
    </w:p>
    <w:p>
      <w:pPr>
        <w:spacing w:line="560" w:lineRule="exact"/>
        <w:ind w:firstLine="640"/>
        <w:contextualSpacing/>
        <w:rPr>
          <w:rFonts w:ascii="仿宋_GB2312" w:eastAsia="仿宋_GB2312"/>
          <w:sz w:val="32"/>
          <w:szCs w:val="32"/>
        </w:rPr>
      </w:pPr>
      <w:r>
        <w:rPr>
          <w:rFonts w:hint="eastAsia" w:ascii="仿宋_GB2312" w:eastAsia="仿宋_GB2312"/>
          <w:sz w:val="32"/>
          <w:szCs w:val="32"/>
        </w:rPr>
        <w:t>规范开采规划区块设置。区块必须符合国家法律法规和相关产业政策，且不与已有矿业权和上级规划区块交叉重叠。一个开采规划区块原则上只设一个开采主体。</w:t>
      </w:r>
    </w:p>
    <w:p>
      <w:pPr>
        <w:spacing w:line="560" w:lineRule="exact"/>
        <w:ind w:firstLine="640"/>
        <w:contextualSpacing/>
        <w:rPr>
          <w:rFonts w:ascii="仿宋_GB2312" w:eastAsia="仿宋_GB2312"/>
          <w:sz w:val="32"/>
          <w:szCs w:val="32"/>
        </w:rPr>
      </w:pPr>
      <w:r>
        <w:rPr>
          <w:rFonts w:hint="eastAsia" w:ascii="仿宋_GB2312" w:eastAsia="仿宋_GB2312"/>
          <w:sz w:val="32"/>
          <w:szCs w:val="32"/>
        </w:rPr>
        <w:t>严格矿产资源开采监管。严格执行矿产资源管理相关文件，健全开发利用全程监管体系。加强矿山建设前开发利用方案的审查、生产过程中开发利用及地质环境治理情况的监督，完善闭坑管理的薄弱环节。完善矿业权人勘查开采信息公示制度，按照“双随机，一公开”要求，以不低于现有矿业权</w:t>
      </w:r>
      <w:r>
        <w:rPr>
          <w:rFonts w:ascii="仿宋_GB2312" w:eastAsia="仿宋_GB2312"/>
          <w:sz w:val="32"/>
          <w:szCs w:val="32"/>
        </w:rPr>
        <w:t>5%的比例抽查矿业权人公示的勘查开采年度信息，重点核查法定义务履行情况和有无违法行为。坚决查处无证开采、越界开采、以采代探等违法活动。强化矿业权人异常名录和严重违法名单管理，推动对违法和失信企业的联合惩戒。</w:t>
      </w:r>
    </w:p>
    <w:p>
      <w:pPr>
        <w:spacing w:line="560" w:lineRule="exact"/>
        <w:ind w:firstLine="640"/>
        <w:contextualSpacing/>
        <w:rPr>
          <w:rFonts w:ascii="仿宋_GB2312" w:eastAsia="仿宋_GB2312"/>
          <w:sz w:val="32"/>
          <w:szCs w:val="32"/>
        </w:rPr>
      </w:pPr>
      <w:r>
        <w:rPr>
          <w:rFonts w:hint="eastAsia" w:ascii="仿宋_GB2312" w:eastAsia="仿宋_GB2312"/>
          <w:sz w:val="32"/>
          <w:szCs w:val="32"/>
        </w:rPr>
        <w:t>加强普通建筑用砂石土矿山管理。各旗县区在市级划定的集中开采区内，对普通建筑用砂石土资源集中开采、规模开采、绿色开采；旗县区级划定砂、石类开采规划区块进行合理开采，确保放而有序、监管有力、指导有方。各旗县区采矿权投放不得突破规划控制数量。探索开展砂石土等采矿权“净矿”出让机制。做好地质灾害防治、水土保持、矿山复绿等方面的工作。普通建筑用砂石土类的采矿权不允许变更或增列其他类矿产。</w:t>
      </w:r>
    </w:p>
    <w:p>
      <w:pPr>
        <w:spacing w:line="560" w:lineRule="exact"/>
        <w:ind w:firstLine="640"/>
        <w:contextualSpacing/>
        <w:rPr>
          <w:rFonts w:ascii="仿宋_GB2312" w:eastAsia="仿宋_GB2312"/>
          <w:sz w:val="32"/>
          <w:szCs w:val="32"/>
        </w:rPr>
      </w:pPr>
      <w:r>
        <w:rPr>
          <w:rFonts w:hint="eastAsia" w:ascii="仿宋_GB2312" w:eastAsia="仿宋_GB2312"/>
          <w:sz w:val="32"/>
          <w:szCs w:val="32"/>
        </w:rPr>
        <w:t>完善采矿权退出机制和储量动态管理。登记管理机关应及时清理过期采矿权，对采矿许可证有效期届满前未按要求申请延续登记的，由负责出让登记的自然资源主管部门纳入已自行废止矿业权名单向社会公告。推进矿产资源储量分类新老标准转化，全面执行新分类标准。严格考核矿山年度采掘计划执行和资源综合利用情况，全面推进矿山储量动态监测，严格执行储量管理的技术标准和管理规范，确立以储量动态管理为核心的监督制度。</w:t>
      </w:r>
    </w:p>
    <w:p>
      <w:pPr>
        <w:pStyle w:val="3"/>
        <w:spacing w:line="560" w:lineRule="exact"/>
      </w:pPr>
      <w:bookmarkStart w:id="26" w:name="_Toc106610330"/>
      <w:r>
        <w:rPr>
          <w:rFonts w:hint="eastAsia"/>
        </w:rPr>
        <w:t>第三节</w:t>
      </w:r>
      <w:r>
        <w:t xml:space="preserve"> </w:t>
      </w:r>
      <w:r>
        <w:rPr>
          <w:rFonts w:hint="eastAsia"/>
        </w:rPr>
        <w:t>严格开采规划准入管理</w:t>
      </w:r>
      <w:bookmarkEnd w:id="26"/>
    </w:p>
    <w:p>
      <w:pPr>
        <w:pStyle w:val="5"/>
        <w:ind w:firstLine="640"/>
        <w:rPr>
          <w:szCs w:val="32"/>
        </w:rPr>
      </w:pPr>
      <w:r>
        <w:rPr>
          <w:rFonts w:hint="eastAsia"/>
          <w:szCs w:val="32"/>
        </w:rPr>
        <w:t>一、矿山最低开采规模准入</w:t>
      </w:r>
    </w:p>
    <w:p>
      <w:pPr>
        <w:spacing w:line="560" w:lineRule="exact"/>
        <w:ind w:firstLine="640"/>
        <w:contextualSpacing/>
        <w:rPr>
          <w:rFonts w:ascii="仿宋_GB2312" w:eastAsia="仿宋_GB2312"/>
          <w:sz w:val="32"/>
          <w:szCs w:val="32"/>
        </w:rPr>
      </w:pPr>
      <w:r>
        <w:rPr>
          <w:rFonts w:hint="eastAsia" w:ascii="仿宋_GB2312" w:eastAsia="仿宋_GB2312"/>
          <w:sz w:val="32"/>
          <w:szCs w:val="32"/>
        </w:rPr>
        <w:t>矿山建设规模要与矿床储量规模相适应，防止大矿小开、一矿多开。严格新建和改扩建煤矿准入标准。严格非煤矿产最低开采规模，除煤层气、富铁、铜、金、地热、矿泉水外，原则上不再新建小型矿山。</w:t>
      </w:r>
    </w:p>
    <w:p>
      <w:pPr>
        <w:pStyle w:val="5"/>
        <w:ind w:firstLine="640"/>
        <w:rPr>
          <w:szCs w:val="32"/>
        </w:rPr>
      </w:pPr>
      <w:r>
        <w:rPr>
          <w:rFonts w:hint="eastAsia"/>
          <w:szCs w:val="32"/>
        </w:rPr>
        <w:t>二、严格开采资格准入管理</w:t>
      </w:r>
    </w:p>
    <w:p>
      <w:pPr>
        <w:spacing w:line="560" w:lineRule="exact"/>
        <w:ind w:firstLine="640"/>
        <w:contextualSpacing/>
        <w:rPr>
          <w:rFonts w:ascii="仿宋_GB2312" w:eastAsia="仿宋_GB2312"/>
          <w:sz w:val="32"/>
          <w:szCs w:val="32"/>
        </w:rPr>
      </w:pPr>
      <w:r>
        <w:rPr>
          <w:rFonts w:hint="eastAsia" w:ascii="仿宋_GB2312" w:eastAsia="仿宋_GB2312"/>
          <w:sz w:val="32"/>
          <w:szCs w:val="32"/>
        </w:rPr>
        <w:t>新建矿山必须按照绿色矿山标准建设，符合矿山最低开采规模和最低服务年限。新立采矿权范围不得与已有矿业权垂直投影重叠，另有规定的除外。严格审查矿山企业资质条件，要有与生产规模相适应的资金及先进的工艺技术和设备，具备与矿山开采规模相适应的人才、技术和管理制度。</w:t>
      </w:r>
    </w:p>
    <w:p>
      <w:pPr>
        <w:pStyle w:val="5"/>
        <w:ind w:firstLine="640"/>
        <w:rPr>
          <w:szCs w:val="32"/>
        </w:rPr>
      </w:pPr>
      <w:r>
        <w:rPr>
          <w:rFonts w:hint="eastAsia"/>
          <w:szCs w:val="32"/>
        </w:rPr>
        <w:t>三、严格生态环境准入条件</w:t>
      </w:r>
    </w:p>
    <w:p>
      <w:pPr>
        <w:spacing w:line="560" w:lineRule="exact"/>
        <w:ind w:firstLine="640"/>
        <w:contextualSpacing/>
        <w:rPr>
          <w:rFonts w:ascii="仿宋_GB2312" w:eastAsia="仿宋_GB2312"/>
          <w:sz w:val="32"/>
          <w:szCs w:val="32"/>
        </w:rPr>
      </w:pPr>
      <w:r>
        <w:rPr>
          <w:rFonts w:hint="eastAsia" w:ascii="仿宋_GB2312" w:eastAsia="仿宋_GB2312"/>
          <w:sz w:val="32"/>
          <w:szCs w:val="32"/>
        </w:rPr>
        <w:t>严格落实环境影响评价制度。新设矿业权要符合生态红线、自然保护地内矿业权差别化管理的要求，经过林草、生态环境等相关部门的批准。非战略矿产新设矿业权应当避让永久基本农田，战略性矿产和地热、矿泉水等要做好永久基本农田保护工作。严禁在草原生态红线内乱采滥挖及新上矿产资源开发项目；严禁生态保护红线外的基本草原新上矿产资源开发项目；一般草原区，除保障国家和自治区能源战略安全的矿产资源开发项目外，不得新上其他类矿产资源开发项目。除保障国家和自治区能源战略安全项目外，严禁新上矿产资源开发项目占用林地。</w:t>
      </w:r>
    </w:p>
    <w:p>
      <w:pPr>
        <w:pStyle w:val="5"/>
        <w:ind w:firstLine="640"/>
        <w:rPr>
          <w:szCs w:val="32"/>
        </w:rPr>
      </w:pPr>
      <w:r>
        <w:rPr>
          <w:rFonts w:hint="eastAsia"/>
          <w:szCs w:val="32"/>
        </w:rPr>
        <w:t>四、加强矿山安全生产准入条件</w:t>
      </w:r>
    </w:p>
    <w:p>
      <w:pPr>
        <w:spacing w:line="560" w:lineRule="exact"/>
        <w:ind w:firstLine="640"/>
        <w:contextualSpacing/>
        <w:rPr>
          <w:rFonts w:ascii="仿宋_GB2312" w:eastAsia="仿宋_GB2312"/>
          <w:sz w:val="32"/>
          <w:szCs w:val="32"/>
        </w:rPr>
      </w:pPr>
      <w:r>
        <w:rPr>
          <w:rFonts w:hint="eastAsia" w:ascii="仿宋_GB2312" w:eastAsia="仿宋_GB2312"/>
          <w:sz w:val="32"/>
          <w:szCs w:val="32"/>
        </w:rPr>
        <w:t>新建矿山要符合应急管理部门对矿山安全生产的管理要求，采矿权人拥有相应的安全生产许可，严格安全设施设计，一个采矿证范围内矿产资源开发必须一次性总体设计。企业应当在批准的施工期限内完成建设项目安全设施建设，确需延期的必须经原安全设施设计审批部门批准同意。强化企业主体责任、部门监管责任和属地管理责任落实，严格准入、淘汰落后和创新安全科技，推广先进技术装备。</w:t>
      </w:r>
      <w:r>
        <w:rPr>
          <w:rFonts w:ascii="仿宋_GB2312" w:eastAsia="仿宋_GB2312"/>
          <w:sz w:val="32"/>
          <w:szCs w:val="32"/>
        </w:rPr>
        <w:br w:type="page"/>
      </w:r>
    </w:p>
    <w:p>
      <w:pPr>
        <w:pStyle w:val="2"/>
        <w:rPr>
          <w:szCs w:val="32"/>
        </w:rPr>
      </w:pPr>
      <w:bookmarkStart w:id="27" w:name="_Toc106610331"/>
      <w:r>
        <w:rPr>
          <w:rFonts w:hint="eastAsia"/>
          <w:szCs w:val="32"/>
        </w:rPr>
        <w:t>第六章</w:t>
      </w:r>
      <w:r>
        <w:rPr>
          <w:szCs w:val="32"/>
        </w:rPr>
        <w:t xml:space="preserve"> </w:t>
      </w:r>
      <w:r>
        <w:rPr>
          <w:rFonts w:hint="eastAsia"/>
          <w:szCs w:val="32"/>
        </w:rPr>
        <w:t>绿色矿山建设与矿山地质环境</w:t>
      </w:r>
      <w:bookmarkEnd w:id="27"/>
    </w:p>
    <w:p>
      <w:pPr>
        <w:pStyle w:val="3"/>
        <w:spacing w:line="560" w:lineRule="exact"/>
      </w:pPr>
      <w:bookmarkStart w:id="28" w:name="_Toc106610332"/>
      <w:r>
        <w:rPr>
          <w:rFonts w:hint="eastAsia"/>
        </w:rPr>
        <w:t>第一节</w:t>
      </w:r>
      <w:r>
        <w:t xml:space="preserve"> </w:t>
      </w:r>
      <w:r>
        <w:rPr>
          <w:rFonts w:hint="eastAsia"/>
        </w:rPr>
        <w:t>绿色矿山建设</w:t>
      </w:r>
      <w:bookmarkEnd w:id="28"/>
    </w:p>
    <w:p>
      <w:pPr>
        <w:pStyle w:val="5"/>
        <w:ind w:firstLine="640"/>
        <w:rPr>
          <w:szCs w:val="32"/>
        </w:rPr>
      </w:pPr>
      <w:r>
        <w:rPr>
          <w:rFonts w:hint="eastAsia"/>
          <w:szCs w:val="32"/>
        </w:rPr>
        <w:t>一、新建矿山绿色准入</w:t>
      </w:r>
    </w:p>
    <w:p>
      <w:pPr>
        <w:spacing w:line="560" w:lineRule="exact"/>
        <w:ind w:firstLine="640"/>
        <w:contextualSpacing/>
        <w:rPr>
          <w:rFonts w:ascii="仿宋_GB2312" w:eastAsia="仿宋_GB2312"/>
          <w:sz w:val="32"/>
          <w:szCs w:val="32"/>
        </w:rPr>
      </w:pPr>
      <w:r>
        <w:rPr>
          <w:rFonts w:hint="eastAsia" w:ascii="仿宋_GB2312" w:eastAsia="仿宋_GB2312"/>
          <w:sz w:val="32"/>
          <w:szCs w:val="32"/>
        </w:rPr>
        <w:t>新建矿山要按照绿色矿山建设标准进行建设和开发利用资源，有与其规模相适应的注册资金和技术人员，开采规模要在最小控制规模以上。在采矿权出让合同中明确绿色矿山建设相关要求和违约责任，将绿色矿山建设条件列入开发利用方案中，采用环境友好型开发利用方式。严禁采用国家限制和淘汰的采选技术、工艺和设备，确保新建矿山实现合理开发、资源节约、环境保护、安全生产和社区和谐。</w:t>
      </w:r>
    </w:p>
    <w:p>
      <w:pPr>
        <w:pStyle w:val="5"/>
        <w:ind w:firstLine="640"/>
        <w:rPr>
          <w:szCs w:val="32"/>
        </w:rPr>
      </w:pPr>
      <w:r>
        <w:rPr>
          <w:rFonts w:hint="eastAsia"/>
          <w:szCs w:val="32"/>
        </w:rPr>
        <w:t>二、生产矿山绿色升级</w:t>
      </w:r>
    </w:p>
    <w:p>
      <w:pPr>
        <w:spacing w:line="560" w:lineRule="exact"/>
        <w:ind w:firstLine="640"/>
        <w:contextualSpacing/>
        <w:rPr>
          <w:rFonts w:ascii="仿宋_GB2312" w:eastAsia="仿宋_GB2312"/>
          <w:sz w:val="32"/>
          <w:szCs w:val="32"/>
        </w:rPr>
      </w:pPr>
      <w:r>
        <w:rPr>
          <w:rFonts w:hint="eastAsia" w:ascii="仿宋_GB2312" w:eastAsia="仿宋_GB2312"/>
          <w:sz w:val="32"/>
          <w:szCs w:val="32"/>
        </w:rPr>
        <w:t>落实绿色矿山建设责任主体，以赤北绿色矿业发展示范区和其他典型案例为引领，加大宣传督导力度，强化生态环境、水利、应急管理、工业和信息化、能源、林草等多部门协同推进监管机制，齐抓共管，形成合力，全面推进生产矿山的绿色矿山建设，尽快达到国家或自治区规定标准。</w:t>
      </w:r>
    </w:p>
    <w:p>
      <w:pPr>
        <w:pStyle w:val="5"/>
        <w:ind w:firstLine="640"/>
        <w:rPr>
          <w:szCs w:val="32"/>
        </w:rPr>
      </w:pPr>
      <w:r>
        <w:rPr>
          <w:rFonts w:hint="eastAsia"/>
          <w:szCs w:val="32"/>
        </w:rPr>
        <w:t>三、加大政策支持</w:t>
      </w:r>
    </w:p>
    <w:p>
      <w:pPr>
        <w:spacing w:line="560" w:lineRule="exact"/>
        <w:ind w:firstLine="640"/>
        <w:contextualSpacing/>
        <w:rPr>
          <w:rFonts w:ascii="仿宋_GB2312" w:eastAsia="仿宋_GB2312"/>
          <w:sz w:val="32"/>
          <w:szCs w:val="32"/>
        </w:rPr>
      </w:pPr>
      <w:r>
        <w:rPr>
          <w:rFonts w:hint="eastAsia" w:ascii="仿宋_GB2312" w:eastAsia="仿宋_GB2312"/>
          <w:sz w:val="32"/>
          <w:szCs w:val="32"/>
        </w:rPr>
        <w:t>鼓励矿山企业争创绿色矿山，纳入国家或自治区绿色矿山名录的矿山，可按照国家、自治区相关规定，享受矿产资源、建设用地、财税、绿色金融等相关支持、扶持政策优惠。</w:t>
      </w:r>
    </w:p>
    <w:p>
      <w:pPr>
        <w:pStyle w:val="5"/>
        <w:ind w:firstLine="640"/>
        <w:rPr>
          <w:b/>
          <w:szCs w:val="32"/>
        </w:rPr>
      </w:pPr>
      <w:r>
        <w:rPr>
          <w:rFonts w:hint="eastAsia"/>
          <w:szCs w:val="32"/>
        </w:rPr>
        <w:t>四、严格绿色矿山监督管理</w:t>
      </w:r>
    </w:p>
    <w:p>
      <w:pPr>
        <w:spacing w:line="560" w:lineRule="exact"/>
        <w:ind w:firstLine="640"/>
        <w:contextualSpacing/>
        <w:rPr>
          <w:rFonts w:ascii="仿宋_GB2312" w:eastAsia="仿宋_GB2312"/>
          <w:sz w:val="32"/>
          <w:szCs w:val="32"/>
        </w:rPr>
      </w:pPr>
      <w:r>
        <w:rPr>
          <w:rFonts w:hint="eastAsia" w:ascii="仿宋_GB2312" w:eastAsia="仿宋_GB2312"/>
          <w:sz w:val="32"/>
          <w:szCs w:val="32"/>
        </w:rPr>
        <w:t>纳入绿色矿山名录的矿山应当持续开展绿色矿山维护，确保相关指标符合绿色矿山建设要求。主动将上一年度绿色矿山建设情况和本年度的建设计划等相关信息向社会公开，接受监督。变更矿区范围、开采方式、开采规模的应当及时向旗县级自然资源主管部门申请重新评估。</w:t>
      </w:r>
    </w:p>
    <w:p>
      <w:pPr>
        <w:spacing w:line="560" w:lineRule="exact"/>
        <w:ind w:firstLine="640"/>
        <w:contextualSpacing/>
        <w:rPr>
          <w:rFonts w:ascii="仿宋_GB2312" w:eastAsia="仿宋_GB2312"/>
          <w:sz w:val="32"/>
          <w:szCs w:val="32"/>
        </w:rPr>
      </w:pPr>
      <w:r>
        <w:rPr>
          <w:rFonts w:hint="eastAsia" w:ascii="仿宋_GB2312" w:eastAsia="仿宋_GB2312"/>
          <w:sz w:val="32"/>
          <w:szCs w:val="32"/>
        </w:rPr>
        <w:t>绿色矿山名录实行“有进有出”动态管理。对已纳入国家、自治区的绿色矿山名录的矿山，对照国家、自治区建设标准，根据相关规定，全面采用“双随机、一公开”的方式展开检查，对检查发现问题的矿山企业及时通知整改，对拒绝整改或限期整改后没有整改到位的矿山按程序申请公告移出绿色矿山名录，并向社会公开。</w:t>
      </w:r>
    </w:p>
    <w:p>
      <w:pPr>
        <w:spacing w:line="560" w:lineRule="exact"/>
        <w:ind w:firstLine="640"/>
        <w:contextualSpacing/>
        <w:rPr>
          <w:rFonts w:ascii="仿宋_GB2312" w:eastAsia="仿宋_GB2312"/>
          <w:sz w:val="32"/>
          <w:szCs w:val="32"/>
        </w:rPr>
      </w:pPr>
      <w:r>
        <w:rPr>
          <w:rFonts w:hint="eastAsia" w:ascii="仿宋_GB2312" w:eastAsia="仿宋_GB2312"/>
          <w:sz w:val="32"/>
          <w:szCs w:val="32"/>
        </w:rPr>
        <w:t>旗县区自然资源局（分局）应根据管理需要会同相关部门开展绿色矿山自查自纠工作，提升绿色矿山管理水平。</w:t>
      </w:r>
    </w:p>
    <w:p>
      <w:pPr>
        <w:pStyle w:val="3"/>
        <w:spacing w:line="560" w:lineRule="exact"/>
      </w:pPr>
      <w:bookmarkStart w:id="29" w:name="_Toc104358692"/>
      <w:bookmarkStart w:id="30" w:name="_Toc106610333"/>
      <w:r>
        <w:rPr>
          <w:rFonts w:hint="eastAsia"/>
        </w:rPr>
        <w:t>第二节</w:t>
      </w:r>
      <w:r>
        <w:t xml:space="preserve"> </w:t>
      </w:r>
      <w:r>
        <w:rPr>
          <w:rFonts w:hint="eastAsia"/>
        </w:rPr>
        <w:t>矿山地质环境保护与治理</w:t>
      </w:r>
      <w:bookmarkEnd w:id="29"/>
      <w:bookmarkEnd w:id="30"/>
    </w:p>
    <w:p>
      <w:pPr>
        <w:pStyle w:val="5"/>
        <w:ind w:firstLine="640"/>
        <w:rPr>
          <w:szCs w:val="32"/>
        </w:rPr>
      </w:pPr>
      <w:r>
        <w:rPr>
          <w:rFonts w:hint="eastAsia"/>
          <w:szCs w:val="32"/>
        </w:rPr>
        <w:t>一、新建矿山地质环境保护与土地复垦</w:t>
      </w:r>
    </w:p>
    <w:p>
      <w:pPr>
        <w:spacing w:line="560" w:lineRule="exact"/>
        <w:ind w:firstLine="640"/>
        <w:contextualSpacing/>
        <w:rPr>
          <w:rFonts w:ascii="仿宋_GB2312" w:eastAsia="仿宋_GB2312"/>
          <w:sz w:val="32"/>
          <w:szCs w:val="32"/>
        </w:rPr>
      </w:pPr>
      <w:r>
        <w:rPr>
          <w:rFonts w:hint="eastAsia" w:ascii="仿宋_GB2312" w:eastAsia="仿宋_GB2312"/>
          <w:sz w:val="32"/>
          <w:szCs w:val="32"/>
        </w:rPr>
        <w:t>新建矿山必须编制并提交矿山地质环境保护与土地复垦方案，执行矿山地质环境治理恢复基金管理办法，建立基金账户，全面履行矿山地质环境治理与土地复垦的义务。</w:t>
      </w:r>
    </w:p>
    <w:p>
      <w:pPr>
        <w:pStyle w:val="5"/>
        <w:ind w:firstLine="640"/>
        <w:rPr>
          <w:szCs w:val="32"/>
        </w:rPr>
      </w:pPr>
      <w:r>
        <w:rPr>
          <w:rFonts w:hint="eastAsia"/>
          <w:szCs w:val="32"/>
        </w:rPr>
        <w:t>二、生产矿山地质环境保护与土地复垦</w:t>
      </w:r>
    </w:p>
    <w:p>
      <w:pPr>
        <w:spacing w:line="560" w:lineRule="exact"/>
        <w:ind w:firstLine="640"/>
        <w:contextualSpacing/>
        <w:rPr>
          <w:rFonts w:ascii="仿宋_GB2312" w:eastAsia="仿宋_GB2312"/>
          <w:sz w:val="32"/>
          <w:szCs w:val="32"/>
        </w:rPr>
      </w:pPr>
      <w:r>
        <w:rPr>
          <w:rFonts w:hint="eastAsia" w:ascii="仿宋_GB2312" w:eastAsia="仿宋_GB2312"/>
          <w:sz w:val="32"/>
          <w:szCs w:val="32"/>
        </w:rPr>
        <w:t>生产矿山要全面履行矿山地质环境保护和土地复垦义务，及时编制和修编矿山地质环境保护与土地复垦方案等，报自然资源主管部门审查公示；按照相关规定，足额计提矿山地质环境治理恢复基金，规范使用；按照“谁破坏，谁治理，边开采，边治理，应治尽治”的原则，依据矿山地质环境保护与土地复垦方案和年度治理计划书全面开展治理恢复。加强矿山地质环境与土地复垦动态监测，切实提高矿山地质环境治理成效。</w:t>
      </w:r>
    </w:p>
    <w:p>
      <w:pPr>
        <w:pStyle w:val="5"/>
        <w:ind w:firstLine="640"/>
        <w:rPr>
          <w:szCs w:val="32"/>
        </w:rPr>
      </w:pPr>
      <w:r>
        <w:rPr>
          <w:rFonts w:hint="eastAsia"/>
          <w:szCs w:val="32"/>
        </w:rPr>
        <w:t>三、闭坑矿山治理恢复</w:t>
      </w:r>
    </w:p>
    <w:p>
      <w:pPr>
        <w:spacing w:line="560" w:lineRule="exact"/>
        <w:ind w:firstLine="640"/>
        <w:contextualSpacing/>
        <w:rPr>
          <w:rFonts w:ascii="仿宋_GB2312" w:eastAsia="仿宋_GB2312"/>
          <w:sz w:val="32"/>
          <w:szCs w:val="32"/>
        </w:rPr>
      </w:pPr>
      <w:r>
        <w:rPr>
          <w:rFonts w:hint="eastAsia" w:ascii="仿宋_GB2312" w:eastAsia="仿宋_GB2312"/>
          <w:sz w:val="32"/>
          <w:szCs w:val="32"/>
        </w:rPr>
        <w:t>矿山关闭前必须完成矿山地质环境保护与土地复垦义务，经市自然资源主管部门验收合格并提交验收合格文件，方可申请办理闭坑手续。在充分论证的基础上，可以尝试探索开展矿山公园建设，保护珍贵的矿业遗迹，充分利用废弃矿坑及采矿、冶炼、加工遗址，结合生态修复后的优美环境，建设地质矿产科学普及、旅游探险为一体的综合性治理模式。</w:t>
      </w:r>
    </w:p>
    <w:p>
      <w:pPr>
        <w:pStyle w:val="5"/>
        <w:ind w:firstLine="640"/>
        <w:rPr>
          <w:b/>
          <w:szCs w:val="32"/>
        </w:rPr>
      </w:pPr>
      <w:r>
        <w:rPr>
          <w:rFonts w:hint="eastAsia"/>
          <w:szCs w:val="32"/>
        </w:rPr>
        <w:t>四、加强矿山地质环境保护与治理管理</w:t>
      </w:r>
    </w:p>
    <w:p>
      <w:pPr>
        <w:spacing w:line="560" w:lineRule="exact"/>
        <w:ind w:firstLine="640"/>
        <w:contextualSpacing/>
        <w:rPr>
          <w:rFonts w:ascii="仿宋_GB2312" w:eastAsia="仿宋_GB2312"/>
          <w:sz w:val="32"/>
          <w:szCs w:val="32"/>
        </w:rPr>
      </w:pPr>
      <w:r>
        <w:rPr>
          <w:rFonts w:hint="eastAsia" w:ascii="仿宋_GB2312" w:eastAsia="仿宋_GB2312"/>
          <w:sz w:val="32"/>
          <w:szCs w:val="32"/>
        </w:rPr>
        <w:t>旗县级以上自然资源主管部门会同环境保护主管部门建立动态化的监管机制，加强对企业矿山地质环境治理的监督检查。矿山地质环境治理恢复基金计提和使用实行专账管理，矿山企业应当如实记录弃置费用摊销情况，建立基金支出季报制度。旗县级以上自然资源主管部门会同财政、生态环境主管部门等按职责对基金计提、使用情况进行监督检查，对于未按要求履行生态修复义务的企业，责令限期整改，对于逾期不可整改或整改不到位的，列入矿业权人异常名录或严重违法失信名单。</w:t>
      </w:r>
    </w:p>
    <w:p>
      <w:pPr>
        <w:widowControl/>
        <w:spacing w:line="560" w:lineRule="exact"/>
        <w:contextualSpacing/>
        <w:jc w:val="left"/>
        <w:rPr>
          <w:rFonts w:ascii="仿宋_GB2312" w:eastAsia="仿宋_GB2312"/>
          <w:sz w:val="32"/>
          <w:szCs w:val="32"/>
        </w:rPr>
      </w:pPr>
      <w:r>
        <w:rPr>
          <w:rFonts w:ascii="仿宋_GB2312" w:eastAsia="仿宋_GB2312"/>
          <w:sz w:val="32"/>
          <w:szCs w:val="32"/>
        </w:rPr>
        <w:br w:type="page"/>
      </w:r>
    </w:p>
    <w:p>
      <w:pPr>
        <w:pStyle w:val="3"/>
        <w:spacing w:line="560" w:lineRule="exact"/>
      </w:pPr>
      <w:bookmarkStart w:id="31" w:name="_Toc106610334"/>
      <w:r>
        <w:rPr>
          <w:rFonts w:hint="eastAsia"/>
        </w:rPr>
        <w:t>第七章</w:t>
      </w:r>
      <w:r>
        <w:t xml:space="preserve"> </w:t>
      </w:r>
      <w:r>
        <w:rPr>
          <w:rFonts w:hint="eastAsia"/>
        </w:rPr>
        <w:t>规划实施与管理</w:t>
      </w:r>
      <w:bookmarkEnd w:id="31"/>
    </w:p>
    <w:p>
      <w:pPr>
        <w:spacing w:line="560" w:lineRule="exact"/>
        <w:ind w:firstLine="640"/>
        <w:contextualSpacing/>
        <w:rPr>
          <w:rFonts w:ascii="仿宋_GB2312" w:eastAsia="仿宋_GB2312"/>
          <w:sz w:val="32"/>
          <w:szCs w:val="32"/>
        </w:rPr>
      </w:pPr>
      <w:r>
        <w:rPr>
          <w:rFonts w:hint="eastAsia" w:ascii="仿宋_GB2312" w:eastAsia="仿宋_GB2312"/>
          <w:sz w:val="32"/>
          <w:szCs w:val="32"/>
        </w:rPr>
        <w:t>根据上级工作部署和本级自然资源管理职责，建立健全规划实施与管理机制，改善规划实施环境，确保矿产资源勘查开发规划任务的完成和规划目标的实现。</w:t>
      </w:r>
    </w:p>
    <w:p>
      <w:pPr>
        <w:pStyle w:val="5"/>
        <w:ind w:firstLine="640"/>
        <w:rPr>
          <w:szCs w:val="32"/>
        </w:rPr>
      </w:pPr>
      <w:r>
        <w:rPr>
          <w:rFonts w:hint="eastAsia"/>
          <w:szCs w:val="32"/>
        </w:rPr>
        <w:t>一、加强组织领导</w:t>
      </w:r>
    </w:p>
    <w:p>
      <w:pPr>
        <w:spacing w:line="560" w:lineRule="exact"/>
        <w:ind w:firstLine="640"/>
        <w:contextualSpacing/>
        <w:rPr>
          <w:rFonts w:ascii="仿宋_GB2312" w:eastAsia="仿宋_GB2312"/>
          <w:sz w:val="32"/>
          <w:szCs w:val="32"/>
        </w:rPr>
      </w:pPr>
      <w:r>
        <w:rPr>
          <w:rFonts w:hint="eastAsia" w:ascii="仿宋_GB2312" w:eastAsia="仿宋_GB2312"/>
          <w:sz w:val="32"/>
          <w:szCs w:val="32"/>
        </w:rPr>
        <w:t>成立赤峰市矿产资源规划领导小组，组长由相关副市长担任，副组长由市自然资源局局长担任，成员为市自然资源局、发展改革委、工业和信息化局、财政局、生态环境局、住房城乡建设局、交通运输局</w:t>
      </w:r>
      <w:r>
        <w:rPr>
          <w:rFonts w:ascii="仿宋_GB2312" w:eastAsia="仿宋_GB2312"/>
          <w:sz w:val="32"/>
          <w:szCs w:val="32"/>
        </w:rPr>
        <w:t>、水</w:t>
      </w:r>
      <w:r>
        <w:rPr>
          <w:rFonts w:hint="eastAsia" w:ascii="仿宋_GB2312" w:eastAsia="仿宋_GB2312"/>
          <w:sz w:val="32"/>
          <w:szCs w:val="32"/>
        </w:rPr>
        <w:t>利局、农牧局、商务局、文化和旅游局、统计局、林草局、应急局等部门相关负责同志。规划领导小组办公室设在市自然资源局，办公室主任由市自然资源局局长兼任。在市政府统一部署下，切实加强规划实施的组织领导，建立严格的工作责任制，加强信息化管理，出台配套政策措施，确保规划各项任务落到实处。各有关部门要按照各自的职能分工，加强协调配合，做好政策衔接，共同推进规划实施。</w:t>
      </w:r>
      <w:bookmarkStart w:id="32" w:name="_Toc496362599"/>
    </w:p>
    <w:p>
      <w:pPr>
        <w:spacing w:line="560" w:lineRule="exact"/>
        <w:ind w:firstLine="640"/>
        <w:contextualSpacing/>
        <w:rPr>
          <w:rFonts w:ascii="仿宋_GB2312" w:eastAsia="仿宋_GB2312"/>
          <w:sz w:val="32"/>
          <w:szCs w:val="32"/>
        </w:rPr>
      </w:pPr>
      <w:r>
        <w:rPr>
          <w:rFonts w:hint="eastAsia" w:ascii="仿宋_GB2312" w:eastAsia="仿宋_GB2312"/>
          <w:sz w:val="32"/>
          <w:szCs w:val="32"/>
        </w:rPr>
        <w:t>针对新建资源勘查开发项目，要求相关部门必须就资源开发是否符合“生态优先、绿色发展”要求、区域生态环境承载力、经济效益、社会效益、生态效益等方面进行统筹论证，论证可行后办理相关证照手续，论证不通过的严禁新建。</w:t>
      </w:r>
    </w:p>
    <w:p>
      <w:pPr>
        <w:pStyle w:val="5"/>
        <w:ind w:firstLine="640"/>
        <w:rPr>
          <w:szCs w:val="32"/>
        </w:rPr>
      </w:pPr>
      <w:r>
        <w:rPr>
          <w:rFonts w:hint="eastAsia"/>
          <w:szCs w:val="32"/>
        </w:rPr>
        <w:t>二、强化规划目标</w:t>
      </w:r>
      <w:bookmarkEnd w:id="32"/>
      <w:r>
        <w:rPr>
          <w:rFonts w:hint="eastAsia"/>
          <w:szCs w:val="32"/>
        </w:rPr>
        <w:t>责任考核</w:t>
      </w:r>
    </w:p>
    <w:p>
      <w:pPr>
        <w:spacing w:line="560" w:lineRule="exact"/>
        <w:ind w:firstLine="640"/>
        <w:contextualSpacing/>
        <w:rPr>
          <w:rFonts w:ascii="仿宋_GB2312" w:eastAsia="仿宋_GB2312"/>
          <w:sz w:val="32"/>
          <w:szCs w:val="32"/>
        </w:rPr>
      </w:pPr>
      <w:bookmarkStart w:id="33" w:name="_Toc496362602"/>
      <w:r>
        <w:rPr>
          <w:rFonts w:hint="eastAsia" w:ascii="仿宋_GB2312" w:eastAsia="仿宋_GB2312"/>
          <w:sz w:val="32"/>
          <w:szCs w:val="32"/>
        </w:rPr>
        <w:t>对《规划》实施情况进行年度执行情况检查，应根据《规划》提出的发展目标和任务，分年度予以落实。《规划》确定的各项指标，要分解落实到各级相关部门，纳入绩效考核范围。落实《规划》实施领导责任制。严格执行《规划》，维护本行政区域内矿产资源勘查开发的正常秩序，并将《规划》执行情况作为主要领导业绩考核的重要依据。</w:t>
      </w:r>
    </w:p>
    <w:bookmarkEnd w:id="33"/>
    <w:p>
      <w:pPr>
        <w:pStyle w:val="5"/>
        <w:ind w:firstLine="640"/>
        <w:rPr>
          <w:szCs w:val="32"/>
        </w:rPr>
      </w:pPr>
      <w:bookmarkStart w:id="34" w:name="_Toc496362601"/>
      <w:r>
        <w:rPr>
          <w:rFonts w:hint="eastAsia"/>
          <w:szCs w:val="32"/>
        </w:rPr>
        <w:t>三、加强《规划》实施评估与监督检查</w:t>
      </w:r>
      <w:bookmarkEnd w:id="34"/>
    </w:p>
    <w:p>
      <w:pPr>
        <w:spacing w:line="560" w:lineRule="exact"/>
        <w:ind w:firstLine="640"/>
        <w:contextualSpacing/>
        <w:rPr>
          <w:rFonts w:ascii="仿宋_GB2312" w:eastAsia="仿宋_GB2312"/>
          <w:sz w:val="32"/>
          <w:szCs w:val="32"/>
        </w:rPr>
      </w:pPr>
      <w:r>
        <w:rPr>
          <w:rFonts w:hint="eastAsia" w:ascii="仿宋_GB2312" w:eastAsia="仿宋_GB2312"/>
          <w:sz w:val="32"/>
          <w:szCs w:val="32"/>
        </w:rPr>
        <w:t>建立《规划》实施评估与监督管理机制。开展《规划》年度监测、中期评估和末期评估，评估《规划》实施的进展与成效，各项指标任务的完成情况，各项措施的落实情况，分析实施中存在的问题和类型，依据相关规定对规划进行调整和完善。要将《规划》作为自然资源执法检查的重要内容，对违反矿产资源法律法规和《规划》的，非法开采矿产资源或者破坏矿产资源的，要坚决查处；构成犯罪的，要依法追究刑事责任。定期公布各地区对《规划》的执行情况，及时纠正各种违反《规划》的行为。</w:t>
      </w:r>
    </w:p>
    <w:p>
      <w:pPr>
        <w:pStyle w:val="5"/>
        <w:ind w:firstLine="640"/>
        <w:rPr>
          <w:szCs w:val="32"/>
        </w:rPr>
      </w:pPr>
      <w:r>
        <w:rPr>
          <w:rFonts w:hint="eastAsia"/>
          <w:szCs w:val="32"/>
        </w:rPr>
        <w:t>四、提高规划管理信息化水平</w:t>
      </w:r>
    </w:p>
    <w:p>
      <w:pPr>
        <w:spacing w:line="560" w:lineRule="exact"/>
        <w:ind w:firstLine="640"/>
        <w:contextualSpacing/>
        <w:rPr>
          <w:rFonts w:ascii="仿宋_GB2312" w:eastAsia="仿宋_GB2312"/>
          <w:sz w:val="32"/>
          <w:szCs w:val="32"/>
        </w:rPr>
      </w:pPr>
      <w:r>
        <w:rPr>
          <w:rFonts w:hint="eastAsia" w:ascii="仿宋_GB2312" w:eastAsia="仿宋_GB2312"/>
          <w:sz w:val="32"/>
          <w:szCs w:val="32"/>
        </w:rPr>
        <w:t>建立《规划》数据库并纳入全区统一数据库，融入“国土空间一张图”。创新行政审批服务方式，深化“互联网</w:t>
      </w:r>
      <w:r>
        <w:rPr>
          <w:rFonts w:ascii="仿宋_GB2312" w:eastAsia="仿宋_GB2312"/>
          <w:sz w:val="32"/>
          <w:szCs w:val="32"/>
        </w:rPr>
        <w:t>+政务服务”，扩大网上审批范围，优化审批流程。《规划》数据库调整要与《规划》实施监测与评估工作紧密结合，实行集中动态调整，原则上每年度集中调整完善1次。各地每年1月底前，可根据上一年度地质找矿新发现和当年矿业权出让计划安排需要，对确需新增或调整的勘查开采规划区块进行集中调整，并纳入《规划》数据库。</w:t>
      </w:r>
      <w:r>
        <w:rPr>
          <w:rFonts w:ascii="仿宋_GB2312" w:eastAsia="仿宋_GB2312"/>
          <w:sz w:val="32"/>
          <w:szCs w:val="32"/>
        </w:rPr>
        <w:br w:type="page"/>
      </w:r>
    </w:p>
    <w:p>
      <w:pPr>
        <w:pStyle w:val="2"/>
        <w:rPr>
          <w:szCs w:val="32"/>
        </w:rPr>
      </w:pPr>
      <w:bookmarkStart w:id="35" w:name="_Toc106610335"/>
      <w:bookmarkStart w:id="36" w:name="_Toc104358694"/>
      <w:r>
        <w:rPr>
          <w:rFonts w:hint="eastAsia"/>
          <w:szCs w:val="32"/>
        </w:rPr>
        <w:t>第八章</w:t>
      </w:r>
      <w:r>
        <w:rPr>
          <w:szCs w:val="32"/>
        </w:rPr>
        <w:t xml:space="preserve"> </w:t>
      </w:r>
      <w:r>
        <w:rPr>
          <w:rFonts w:hint="eastAsia"/>
          <w:szCs w:val="32"/>
        </w:rPr>
        <w:t>环境影响评价</w:t>
      </w:r>
      <w:bookmarkEnd w:id="35"/>
      <w:bookmarkEnd w:id="36"/>
    </w:p>
    <w:p>
      <w:pPr>
        <w:ind w:firstLine="640"/>
        <w:rPr>
          <w:sz w:val="32"/>
          <w:szCs w:val="32"/>
        </w:rPr>
      </w:pPr>
    </w:p>
    <w:p>
      <w:pPr>
        <w:spacing w:line="560" w:lineRule="exact"/>
        <w:ind w:firstLine="640"/>
        <w:contextualSpacing/>
        <w:rPr>
          <w:rFonts w:ascii="仿宋_GB2312" w:eastAsia="仿宋_GB2312"/>
          <w:sz w:val="32"/>
          <w:szCs w:val="32"/>
        </w:rPr>
      </w:pPr>
      <w:r>
        <w:rPr>
          <w:rFonts w:hint="eastAsia" w:ascii="仿宋_GB2312" w:eastAsia="仿宋_GB2312"/>
          <w:sz w:val="32"/>
          <w:szCs w:val="32"/>
        </w:rPr>
        <w:t>主要依据《中华人民共和国环境保护法》《中华人民共和国环境影响评价法》《规划环境影响评价条例》，并参考各环境要素的评价技术导则，开展环境影响评价。</w:t>
      </w:r>
    </w:p>
    <w:p>
      <w:pPr>
        <w:pStyle w:val="3"/>
      </w:pPr>
      <w:bookmarkStart w:id="37" w:name="_Toc106610336"/>
      <w:bookmarkStart w:id="38" w:name="_Toc104358695"/>
      <w:r>
        <w:rPr>
          <w:rFonts w:hint="eastAsia"/>
        </w:rPr>
        <w:t>第一节</w:t>
      </w:r>
      <w:r>
        <w:t xml:space="preserve"> </w:t>
      </w:r>
      <w:r>
        <w:rPr>
          <w:rFonts w:hint="eastAsia"/>
        </w:rPr>
        <w:t>生态环境质量现状</w:t>
      </w:r>
      <w:bookmarkEnd w:id="37"/>
      <w:bookmarkEnd w:id="38"/>
    </w:p>
    <w:p>
      <w:pPr>
        <w:pStyle w:val="5"/>
        <w:ind w:firstLine="640"/>
        <w:rPr>
          <w:szCs w:val="32"/>
        </w:rPr>
      </w:pPr>
      <w:r>
        <w:rPr>
          <w:rFonts w:hint="eastAsia"/>
          <w:szCs w:val="32"/>
        </w:rPr>
        <w:t>一、重点环境保护目标</w:t>
      </w:r>
    </w:p>
    <w:p>
      <w:pPr>
        <w:spacing w:line="560" w:lineRule="exact"/>
        <w:ind w:firstLine="640"/>
        <w:contextualSpacing/>
        <w:rPr>
          <w:rFonts w:ascii="仿宋_GB2312" w:eastAsia="仿宋_GB2312"/>
          <w:sz w:val="32"/>
          <w:szCs w:val="32"/>
        </w:rPr>
      </w:pPr>
      <w:r>
        <w:rPr>
          <w:rFonts w:hint="eastAsia" w:ascii="仿宋_GB2312" w:eastAsia="仿宋_GB2312"/>
          <w:sz w:val="32"/>
          <w:szCs w:val="32"/>
        </w:rPr>
        <w:t>赤峰市重点环境保护目标包括自然保护区、森林公园、地质公园、湿地公园、草原公园、饮用水水源保护区等。全市有自然保护区</w:t>
      </w:r>
      <w:r>
        <w:rPr>
          <w:rFonts w:ascii="仿宋_GB2312" w:eastAsia="仿宋_GB2312"/>
          <w:sz w:val="32"/>
          <w:szCs w:val="32"/>
        </w:rPr>
        <w:t>15个，其中国家级8个，自治区级7个；森林公园10个，其中国家级4个，自治区级6个；地质公园4个，其中国家级3个，自治区级1个；湿地公园1个，为国家级；草原公园1个，为国家级；饮用水水源保护区13个，其中盟市级3个，旗县级10个。</w:t>
      </w:r>
    </w:p>
    <w:p>
      <w:pPr>
        <w:spacing w:line="560" w:lineRule="exact"/>
        <w:ind w:firstLine="640"/>
        <w:contextualSpacing/>
        <w:rPr>
          <w:rFonts w:ascii="仿宋_GB2312" w:eastAsia="仿宋_GB2312"/>
          <w:sz w:val="32"/>
          <w:szCs w:val="32"/>
        </w:rPr>
      </w:pPr>
    </w:p>
    <w:p>
      <w:pPr>
        <w:pStyle w:val="13"/>
        <w:spacing w:line="560" w:lineRule="exact"/>
        <w:ind w:firstLine="480"/>
        <w:contextualSpacing/>
        <w:jc w:val="center"/>
        <w:rPr>
          <w:rFonts w:ascii="黑体" w:hAnsi="黑体" w:eastAsia="黑体" w:cs="Times New Roman"/>
          <w:color w:val="auto"/>
          <w:sz w:val="24"/>
          <w:szCs w:val="24"/>
        </w:rPr>
      </w:pPr>
      <w:r>
        <w:rPr>
          <w:rFonts w:hint="eastAsia" w:ascii="黑体" w:hAnsi="黑体" w:eastAsia="黑体" w:cs="Times New Roman"/>
          <w:color w:val="auto"/>
          <w:sz w:val="24"/>
          <w:szCs w:val="24"/>
        </w:rPr>
        <w:t>专栏</w:t>
      </w:r>
      <w:r>
        <w:rPr>
          <w:rFonts w:ascii="黑体" w:hAnsi="黑体" w:eastAsia="黑体" w:cs="Times New Roman"/>
          <w:color w:val="auto"/>
          <w:sz w:val="24"/>
          <w:szCs w:val="24"/>
        </w:rPr>
        <w:t xml:space="preserve">11 </w:t>
      </w:r>
      <w:r>
        <w:rPr>
          <w:rFonts w:hint="eastAsia" w:ascii="黑体" w:hAnsi="黑体" w:eastAsia="黑体" w:cs="Times New Roman"/>
          <w:snapToGrid w:val="0"/>
          <w:color w:val="auto"/>
          <w:sz w:val="24"/>
          <w:szCs w:val="24"/>
        </w:rPr>
        <w:t>重点环境保护目标</w:t>
      </w:r>
    </w:p>
    <w:tbl>
      <w:tblPr>
        <w:tblStyle w:val="10"/>
        <w:tblW w:w="4998" w:type="pct"/>
        <w:tblInd w:w="0" w:type="dxa"/>
        <w:tblLayout w:type="autofit"/>
        <w:tblCellMar>
          <w:top w:w="0" w:type="dxa"/>
          <w:left w:w="108" w:type="dxa"/>
          <w:bottom w:w="0" w:type="dxa"/>
          <w:right w:w="108" w:type="dxa"/>
        </w:tblCellMar>
      </w:tblPr>
      <w:tblGrid>
        <w:gridCol w:w="822"/>
        <w:gridCol w:w="6250"/>
        <w:gridCol w:w="1447"/>
      </w:tblGrid>
      <w:tr>
        <w:tblPrEx>
          <w:tblCellMar>
            <w:top w:w="0" w:type="dxa"/>
            <w:left w:w="108" w:type="dxa"/>
            <w:bottom w:w="0" w:type="dxa"/>
            <w:right w:w="108" w:type="dxa"/>
          </w:tblCellMar>
        </w:tblPrEx>
        <w:trPr>
          <w:trHeight w:val="567" w:hRule="atLeast"/>
          <w:tblHeader/>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contextualSpacing/>
              <w:jc w:val="center"/>
              <w:textAlignment w:val="center"/>
              <w:rPr>
                <w:rFonts w:ascii="黑体" w:hAnsi="黑体" w:eastAsia="黑体"/>
                <w:sz w:val="24"/>
                <w:szCs w:val="24"/>
              </w:rPr>
            </w:pPr>
            <w:r>
              <w:rPr>
                <w:rFonts w:hint="eastAsia" w:ascii="黑体" w:hAnsi="黑体" w:eastAsia="黑体"/>
                <w:kern w:val="0"/>
                <w:sz w:val="24"/>
                <w:szCs w:val="24"/>
              </w:rPr>
              <w:t>序号</w:t>
            </w:r>
          </w:p>
        </w:tc>
        <w:tc>
          <w:tcPr>
            <w:tcW w:w="3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contextualSpacing/>
              <w:jc w:val="center"/>
              <w:textAlignment w:val="center"/>
              <w:rPr>
                <w:rFonts w:ascii="黑体" w:hAnsi="黑体" w:eastAsia="黑体"/>
                <w:sz w:val="24"/>
                <w:szCs w:val="24"/>
              </w:rPr>
            </w:pPr>
            <w:r>
              <w:rPr>
                <w:rFonts w:hint="eastAsia" w:ascii="黑体" w:hAnsi="黑体" w:eastAsia="黑体"/>
                <w:kern w:val="0"/>
                <w:sz w:val="24"/>
                <w:szCs w:val="24"/>
              </w:rPr>
              <w:t>名称</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contextualSpacing/>
              <w:jc w:val="center"/>
              <w:textAlignment w:val="center"/>
              <w:rPr>
                <w:rFonts w:ascii="黑体" w:hAnsi="黑体" w:eastAsia="黑体"/>
                <w:sz w:val="24"/>
                <w:szCs w:val="24"/>
              </w:rPr>
            </w:pPr>
            <w:r>
              <w:rPr>
                <w:rFonts w:hint="eastAsia" w:ascii="黑体" w:hAnsi="黑体" w:eastAsia="黑体"/>
                <w:kern w:val="0"/>
                <w:sz w:val="24"/>
                <w:szCs w:val="24"/>
              </w:rPr>
              <w:t>级别</w:t>
            </w:r>
          </w:p>
        </w:tc>
      </w:tr>
      <w:tr>
        <w:tblPrEx>
          <w:tblCellMar>
            <w:top w:w="0" w:type="dxa"/>
            <w:left w:w="108" w:type="dxa"/>
            <w:bottom w:w="0" w:type="dxa"/>
            <w:right w:w="108" w:type="dxa"/>
          </w:tblCellMar>
        </w:tblPrEx>
        <w:trPr>
          <w:trHeight w:val="567" w:hRule="atLeast"/>
        </w:trPr>
        <w:tc>
          <w:tcPr>
            <w:tcW w:w="5000" w:type="pct"/>
            <w:gridSpan w:val="3"/>
            <w:tcBorders>
              <w:top w:val="nil"/>
              <w:left w:val="single" w:color="auto" w:sz="4" w:space="0"/>
              <w:bottom w:val="nil"/>
              <w:right w:val="single" w:color="000000" w:sz="4" w:space="0"/>
            </w:tcBorders>
            <w:shd w:val="clear" w:color="auto" w:fill="auto"/>
            <w:noWrap/>
            <w:vAlign w:val="center"/>
          </w:tcPr>
          <w:p>
            <w:pPr>
              <w:widowControl/>
              <w:spacing w:line="560" w:lineRule="exact"/>
              <w:contextualSpacing/>
              <w:jc w:val="center"/>
              <w:rPr>
                <w:rFonts w:ascii="黑体" w:hAnsi="黑体" w:eastAsia="黑体"/>
                <w:sz w:val="24"/>
                <w:szCs w:val="24"/>
              </w:rPr>
            </w:pPr>
            <w:r>
              <w:rPr>
                <w:rFonts w:hint="eastAsia" w:ascii="黑体" w:hAnsi="黑体" w:eastAsia="黑体"/>
                <w:kern w:val="0"/>
                <w:sz w:val="24"/>
                <w:szCs w:val="24"/>
              </w:rPr>
              <w:t>自然保护区</w:t>
            </w:r>
          </w:p>
        </w:tc>
      </w:tr>
      <w:tr>
        <w:tblPrEx>
          <w:tblCellMar>
            <w:top w:w="0" w:type="dxa"/>
            <w:left w:w="108" w:type="dxa"/>
            <w:bottom w:w="0" w:type="dxa"/>
            <w:right w:w="108" w:type="dxa"/>
          </w:tblCellMar>
        </w:tblPrEx>
        <w:trPr>
          <w:trHeight w:val="567"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contextualSpacing/>
              <w:jc w:val="center"/>
              <w:textAlignment w:val="center"/>
              <w:rPr>
                <w:rFonts w:ascii="仿宋_GB2312" w:eastAsia="仿宋_GB2312"/>
                <w:sz w:val="24"/>
                <w:szCs w:val="24"/>
              </w:rPr>
            </w:pPr>
            <w:r>
              <w:rPr>
                <w:rFonts w:ascii="仿宋_GB2312" w:eastAsia="仿宋_GB2312"/>
                <w:kern w:val="0"/>
                <w:sz w:val="24"/>
                <w:szCs w:val="24"/>
              </w:rPr>
              <w:t>1</w:t>
            </w:r>
          </w:p>
        </w:tc>
        <w:tc>
          <w:tcPr>
            <w:tcW w:w="3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阿鲁科尔沁旗高格斯台罕乌拉自然保护区</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国家级</w:t>
            </w:r>
          </w:p>
        </w:tc>
      </w:tr>
      <w:tr>
        <w:tblPrEx>
          <w:tblCellMar>
            <w:top w:w="0" w:type="dxa"/>
            <w:left w:w="108" w:type="dxa"/>
            <w:bottom w:w="0" w:type="dxa"/>
            <w:right w:w="108" w:type="dxa"/>
          </w:tblCellMar>
        </w:tblPrEx>
        <w:trPr>
          <w:trHeight w:val="567"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contextualSpacing/>
              <w:jc w:val="center"/>
              <w:textAlignment w:val="center"/>
              <w:rPr>
                <w:rFonts w:ascii="仿宋_GB2312" w:eastAsia="仿宋_GB2312"/>
                <w:sz w:val="24"/>
                <w:szCs w:val="24"/>
              </w:rPr>
            </w:pPr>
            <w:r>
              <w:rPr>
                <w:rFonts w:ascii="仿宋_GB2312" w:eastAsia="仿宋_GB2312"/>
                <w:kern w:val="0"/>
                <w:sz w:val="24"/>
                <w:szCs w:val="24"/>
              </w:rPr>
              <w:t>2</w:t>
            </w:r>
          </w:p>
        </w:tc>
        <w:tc>
          <w:tcPr>
            <w:tcW w:w="3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内蒙古阿鲁科尔沁国家级自然保护区</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国家级</w:t>
            </w:r>
          </w:p>
        </w:tc>
      </w:tr>
      <w:tr>
        <w:tblPrEx>
          <w:tblCellMar>
            <w:top w:w="0" w:type="dxa"/>
            <w:left w:w="108" w:type="dxa"/>
            <w:bottom w:w="0" w:type="dxa"/>
            <w:right w:w="108" w:type="dxa"/>
          </w:tblCellMar>
        </w:tblPrEx>
        <w:trPr>
          <w:trHeight w:val="567"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contextualSpacing/>
              <w:jc w:val="center"/>
              <w:textAlignment w:val="center"/>
              <w:rPr>
                <w:rFonts w:ascii="仿宋_GB2312" w:eastAsia="仿宋_GB2312"/>
                <w:sz w:val="24"/>
                <w:szCs w:val="24"/>
              </w:rPr>
            </w:pPr>
            <w:r>
              <w:rPr>
                <w:rFonts w:ascii="仿宋_GB2312" w:eastAsia="仿宋_GB2312"/>
                <w:kern w:val="0"/>
                <w:sz w:val="24"/>
                <w:szCs w:val="24"/>
              </w:rPr>
              <w:t>3</w:t>
            </w:r>
          </w:p>
        </w:tc>
        <w:tc>
          <w:tcPr>
            <w:tcW w:w="3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内蒙古乌兰坝国家级自然保护区</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国家级</w:t>
            </w:r>
          </w:p>
        </w:tc>
      </w:tr>
      <w:tr>
        <w:tblPrEx>
          <w:tblCellMar>
            <w:top w:w="0" w:type="dxa"/>
            <w:left w:w="108" w:type="dxa"/>
            <w:bottom w:w="0" w:type="dxa"/>
            <w:right w:w="108" w:type="dxa"/>
          </w:tblCellMar>
        </w:tblPrEx>
        <w:trPr>
          <w:trHeight w:val="567"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contextualSpacing/>
              <w:jc w:val="center"/>
              <w:textAlignment w:val="center"/>
              <w:rPr>
                <w:rFonts w:ascii="仿宋_GB2312" w:eastAsia="仿宋_GB2312"/>
                <w:sz w:val="24"/>
                <w:szCs w:val="24"/>
              </w:rPr>
            </w:pPr>
            <w:r>
              <w:rPr>
                <w:rFonts w:ascii="仿宋_GB2312" w:eastAsia="仿宋_GB2312"/>
                <w:kern w:val="0"/>
                <w:sz w:val="24"/>
                <w:szCs w:val="24"/>
              </w:rPr>
              <w:t>4</w:t>
            </w:r>
          </w:p>
        </w:tc>
        <w:tc>
          <w:tcPr>
            <w:tcW w:w="3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内蒙古赛罕乌拉国家级自然保护区</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国家级</w:t>
            </w:r>
          </w:p>
        </w:tc>
      </w:tr>
      <w:tr>
        <w:tblPrEx>
          <w:tblCellMar>
            <w:top w:w="0" w:type="dxa"/>
            <w:left w:w="108" w:type="dxa"/>
            <w:bottom w:w="0" w:type="dxa"/>
            <w:right w:w="108" w:type="dxa"/>
          </w:tblCellMar>
        </w:tblPrEx>
        <w:trPr>
          <w:trHeight w:val="567"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contextualSpacing/>
              <w:jc w:val="center"/>
              <w:textAlignment w:val="center"/>
              <w:rPr>
                <w:rFonts w:ascii="仿宋_GB2312" w:eastAsia="仿宋_GB2312"/>
                <w:sz w:val="24"/>
                <w:szCs w:val="24"/>
              </w:rPr>
            </w:pPr>
            <w:r>
              <w:rPr>
                <w:rFonts w:ascii="仿宋_GB2312" w:eastAsia="仿宋_GB2312"/>
                <w:kern w:val="0"/>
                <w:sz w:val="24"/>
                <w:szCs w:val="24"/>
              </w:rPr>
              <w:t>5</w:t>
            </w:r>
          </w:p>
        </w:tc>
        <w:tc>
          <w:tcPr>
            <w:tcW w:w="3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内蒙古白音敖包国家级自然保护区</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国家级</w:t>
            </w:r>
          </w:p>
        </w:tc>
      </w:tr>
      <w:tr>
        <w:tblPrEx>
          <w:tblCellMar>
            <w:top w:w="0" w:type="dxa"/>
            <w:left w:w="108" w:type="dxa"/>
            <w:bottom w:w="0" w:type="dxa"/>
            <w:right w:w="108" w:type="dxa"/>
          </w:tblCellMar>
        </w:tblPrEx>
        <w:trPr>
          <w:trHeight w:val="567"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contextualSpacing/>
              <w:jc w:val="center"/>
              <w:textAlignment w:val="center"/>
              <w:rPr>
                <w:rFonts w:ascii="仿宋_GB2312" w:eastAsia="仿宋_GB2312"/>
                <w:sz w:val="24"/>
                <w:szCs w:val="24"/>
              </w:rPr>
            </w:pPr>
            <w:r>
              <w:rPr>
                <w:rFonts w:ascii="仿宋_GB2312" w:eastAsia="仿宋_GB2312"/>
                <w:kern w:val="0"/>
                <w:sz w:val="24"/>
                <w:szCs w:val="24"/>
              </w:rPr>
              <w:t>6</w:t>
            </w:r>
          </w:p>
        </w:tc>
        <w:tc>
          <w:tcPr>
            <w:tcW w:w="3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内蒙古达里诺尔国家级自然保护区</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国家级</w:t>
            </w:r>
          </w:p>
        </w:tc>
      </w:tr>
      <w:tr>
        <w:tblPrEx>
          <w:tblCellMar>
            <w:top w:w="0" w:type="dxa"/>
            <w:left w:w="108" w:type="dxa"/>
            <w:bottom w:w="0" w:type="dxa"/>
            <w:right w:w="108" w:type="dxa"/>
          </w:tblCellMar>
        </w:tblPrEx>
        <w:trPr>
          <w:trHeight w:val="567"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contextualSpacing/>
              <w:jc w:val="center"/>
              <w:textAlignment w:val="center"/>
              <w:rPr>
                <w:rFonts w:ascii="仿宋_GB2312" w:eastAsia="仿宋_GB2312"/>
                <w:sz w:val="24"/>
                <w:szCs w:val="24"/>
              </w:rPr>
            </w:pPr>
            <w:r>
              <w:rPr>
                <w:rFonts w:ascii="仿宋_GB2312" w:eastAsia="仿宋_GB2312"/>
                <w:kern w:val="0"/>
                <w:sz w:val="24"/>
                <w:szCs w:val="24"/>
              </w:rPr>
              <w:t>7</w:t>
            </w:r>
          </w:p>
        </w:tc>
        <w:tc>
          <w:tcPr>
            <w:tcW w:w="3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内蒙古黑里河国家级自然保护区</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国家级</w:t>
            </w:r>
          </w:p>
        </w:tc>
      </w:tr>
      <w:tr>
        <w:tblPrEx>
          <w:tblCellMar>
            <w:top w:w="0" w:type="dxa"/>
            <w:left w:w="108" w:type="dxa"/>
            <w:bottom w:w="0" w:type="dxa"/>
            <w:right w:w="108" w:type="dxa"/>
          </w:tblCellMar>
        </w:tblPrEx>
        <w:trPr>
          <w:trHeight w:val="567"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contextualSpacing/>
              <w:jc w:val="center"/>
              <w:textAlignment w:val="center"/>
              <w:rPr>
                <w:rFonts w:ascii="仿宋_GB2312" w:eastAsia="仿宋_GB2312"/>
                <w:sz w:val="24"/>
                <w:szCs w:val="24"/>
              </w:rPr>
            </w:pPr>
            <w:r>
              <w:rPr>
                <w:rFonts w:ascii="仿宋_GB2312" w:eastAsia="仿宋_GB2312"/>
                <w:kern w:val="0"/>
                <w:sz w:val="24"/>
                <w:szCs w:val="24"/>
              </w:rPr>
              <w:t>8</w:t>
            </w:r>
          </w:p>
        </w:tc>
        <w:tc>
          <w:tcPr>
            <w:tcW w:w="3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内蒙古大黑山国家级自然保护区</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国家级</w:t>
            </w:r>
          </w:p>
        </w:tc>
      </w:tr>
      <w:tr>
        <w:tblPrEx>
          <w:tblCellMar>
            <w:top w:w="0" w:type="dxa"/>
            <w:left w:w="108" w:type="dxa"/>
            <w:bottom w:w="0" w:type="dxa"/>
            <w:right w:w="108" w:type="dxa"/>
          </w:tblCellMar>
        </w:tblPrEx>
        <w:trPr>
          <w:trHeight w:val="567"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contextualSpacing/>
              <w:jc w:val="center"/>
              <w:textAlignment w:val="center"/>
              <w:rPr>
                <w:rFonts w:ascii="仿宋_GB2312" w:eastAsia="仿宋_GB2312"/>
                <w:sz w:val="24"/>
                <w:szCs w:val="24"/>
              </w:rPr>
            </w:pPr>
            <w:r>
              <w:rPr>
                <w:rFonts w:ascii="仿宋_GB2312" w:eastAsia="仿宋_GB2312"/>
                <w:kern w:val="0"/>
                <w:sz w:val="24"/>
                <w:szCs w:val="24"/>
              </w:rPr>
              <w:t>9</w:t>
            </w:r>
          </w:p>
        </w:tc>
        <w:tc>
          <w:tcPr>
            <w:tcW w:w="3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阿鲁科尔沁旗沙日温都自然保护区</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自治区级</w:t>
            </w:r>
          </w:p>
        </w:tc>
      </w:tr>
      <w:tr>
        <w:tblPrEx>
          <w:tblCellMar>
            <w:top w:w="0" w:type="dxa"/>
            <w:left w:w="108" w:type="dxa"/>
            <w:bottom w:w="0" w:type="dxa"/>
            <w:right w:w="108" w:type="dxa"/>
          </w:tblCellMar>
        </w:tblPrEx>
        <w:trPr>
          <w:trHeight w:val="567"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contextualSpacing/>
              <w:jc w:val="center"/>
              <w:textAlignment w:val="center"/>
              <w:rPr>
                <w:rFonts w:ascii="仿宋_GB2312" w:eastAsia="仿宋_GB2312"/>
                <w:sz w:val="24"/>
                <w:szCs w:val="24"/>
              </w:rPr>
            </w:pPr>
            <w:r>
              <w:rPr>
                <w:rFonts w:ascii="仿宋_GB2312" w:eastAsia="仿宋_GB2312"/>
                <w:kern w:val="0"/>
                <w:sz w:val="24"/>
                <w:szCs w:val="24"/>
              </w:rPr>
              <w:t>10</w:t>
            </w:r>
          </w:p>
        </w:tc>
        <w:tc>
          <w:tcPr>
            <w:tcW w:w="3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内蒙古桦木沟自治区级自然保护区</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自治区级</w:t>
            </w:r>
          </w:p>
        </w:tc>
      </w:tr>
      <w:tr>
        <w:tblPrEx>
          <w:tblCellMar>
            <w:top w:w="0" w:type="dxa"/>
            <w:left w:w="108" w:type="dxa"/>
            <w:bottom w:w="0" w:type="dxa"/>
            <w:right w:w="108" w:type="dxa"/>
          </w:tblCellMar>
        </w:tblPrEx>
        <w:trPr>
          <w:trHeight w:val="567"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contextualSpacing/>
              <w:jc w:val="center"/>
              <w:textAlignment w:val="center"/>
              <w:rPr>
                <w:rFonts w:ascii="仿宋_GB2312" w:eastAsia="仿宋_GB2312"/>
                <w:sz w:val="24"/>
                <w:szCs w:val="24"/>
              </w:rPr>
            </w:pPr>
            <w:r>
              <w:rPr>
                <w:rFonts w:ascii="仿宋_GB2312" w:eastAsia="仿宋_GB2312"/>
                <w:kern w:val="0"/>
                <w:sz w:val="24"/>
                <w:szCs w:val="24"/>
              </w:rPr>
              <w:t>11</w:t>
            </w:r>
          </w:p>
        </w:tc>
        <w:tc>
          <w:tcPr>
            <w:tcW w:w="3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内蒙古黄岗梁自治区级自然保护区</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自治区级</w:t>
            </w:r>
          </w:p>
        </w:tc>
      </w:tr>
      <w:tr>
        <w:tblPrEx>
          <w:tblCellMar>
            <w:top w:w="0" w:type="dxa"/>
            <w:left w:w="108" w:type="dxa"/>
            <w:bottom w:w="0" w:type="dxa"/>
            <w:right w:w="108" w:type="dxa"/>
          </w:tblCellMar>
        </w:tblPrEx>
        <w:trPr>
          <w:trHeight w:val="567"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contextualSpacing/>
              <w:jc w:val="center"/>
              <w:textAlignment w:val="center"/>
              <w:rPr>
                <w:rFonts w:ascii="仿宋_GB2312" w:eastAsia="仿宋_GB2312"/>
                <w:sz w:val="24"/>
                <w:szCs w:val="24"/>
              </w:rPr>
            </w:pPr>
            <w:r>
              <w:rPr>
                <w:rFonts w:ascii="仿宋_GB2312" w:eastAsia="仿宋_GB2312"/>
                <w:kern w:val="0"/>
                <w:sz w:val="24"/>
                <w:szCs w:val="24"/>
              </w:rPr>
              <w:t>12</w:t>
            </w:r>
          </w:p>
        </w:tc>
        <w:tc>
          <w:tcPr>
            <w:tcW w:w="3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内蒙古潢源自治区级自然保护区</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自治区级</w:t>
            </w:r>
          </w:p>
        </w:tc>
      </w:tr>
      <w:tr>
        <w:tblPrEx>
          <w:tblCellMar>
            <w:top w:w="0" w:type="dxa"/>
            <w:left w:w="108" w:type="dxa"/>
            <w:bottom w:w="0" w:type="dxa"/>
            <w:right w:w="108" w:type="dxa"/>
          </w:tblCellMar>
        </w:tblPrEx>
        <w:trPr>
          <w:trHeight w:val="567"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contextualSpacing/>
              <w:jc w:val="center"/>
              <w:textAlignment w:val="center"/>
              <w:rPr>
                <w:rFonts w:ascii="仿宋_GB2312" w:eastAsia="仿宋_GB2312"/>
                <w:sz w:val="24"/>
                <w:szCs w:val="24"/>
              </w:rPr>
            </w:pPr>
            <w:r>
              <w:rPr>
                <w:rFonts w:ascii="仿宋_GB2312" w:eastAsia="仿宋_GB2312"/>
                <w:kern w:val="0"/>
                <w:sz w:val="24"/>
                <w:szCs w:val="24"/>
              </w:rPr>
              <w:t>13</w:t>
            </w:r>
          </w:p>
        </w:tc>
        <w:tc>
          <w:tcPr>
            <w:tcW w:w="3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内蒙古青山自治区级自然保护区</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自治区级</w:t>
            </w:r>
          </w:p>
        </w:tc>
      </w:tr>
      <w:tr>
        <w:tblPrEx>
          <w:tblCellMar>
            <w:top w:w="0" w:type="dxa"/>
            <w:left w:w="108" w:type="dxa"/>
            <w:bottom w:w="0" w:type="dxa"/>
            <w:right w:w="108" w:type="dxa"/>
          </w:tblCellMar>
        </w:tblPrEx>
        <w:trPr>
          <w:trHeight w:val="567"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contextualSpacing/>
              <w:jc w:val="center"/>
              <w:textAlignment w:val="center"/>
              <w:rPr>
                <w:rFonts w:ascii="仿宋_GB2312" w:eastAsia="仿宋_GB2312"/>
                <w:sz w:val="24"/>
                <w:szCs w:val="24"/>
              </w:rPr>
            </w:pPr>
            <w:r>
              <w:rPr>
                <w:rFonts w:ascii="仿宋_GB2312" w:eastAsia="仿宋_GB2312"/>
                <w:kern w:val="0"/>
                <w:sz w:val="24"/>
                <w:szCs w:val="24"/>
              </w:rPr>
              <w:t>14</w:t>
            </w:r>
          </w:p>
        </w:tc>
        <w:tc>
          <w:tcPr>
            <w:tcW w:w="3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内蒙古乌兰布统自治区级自然保护区</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自治区级</w:t>
            </w:r>
          </w:p>
        </w:tc>
      </w:tr>
      <w:tr>
        <w:tblPrEx>
          <w:tblCellMar>
            <w:top w:w="0" w:type="dxa"/>
            <w:left w:w="108" w:type="dxa"/>
            <w:bottom w:w="0" w:type="dxa"/>
            <w:right w:w="108" w:type="dxa"/>
          </w:tblCellMar>
        </w:tblPrEx>
        <w:trPr>
          <w:trHeight w:val="567"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contextualSpacing/>
              <w:jc w:val="center"/>
              <w:textAlignment w:val="center"/>
              <w:rPr>
                <w:rFonts w:ascii="仿宋_GB2312" w:eastAsia="仿宋_GB2312"/>
                <w:sz w:val="24"/>
                <w:szCs w:val="24"/>
              </w:rPr>
            </w:pPr>
            <w:r>
              <w:rPr>
                <w:rFonts w:ascii="仿宋_GB2312" w:eastAsia="仿宋_GB2312"/>
                <w:kern w:val="0"/>
                <w:sz w:val="24"/>
                <w:szCs w:val="24"/>
              </w:rPr>
              <w:t>15</w:t>
            </w:r>
          </w:p>
        </w:tc>
        <w:tc>
          <w:tcPr>
            <w:tcW w:w="3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内蒙古松树山自治区级自然保护区</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自治区级</w:t>
            </w:r>
          </w:p>
        </w:tc>
      </w:tr>
      <w:tr>
        <w:tblPrEx>
          <w:tblCellMar>
            <w:top w:w="0" w:type="dxa"/>
            <w:left w:w="108" w:type="dxa"/>
            <w:bottom w:w="0" w:type="dxa"/>
            <w:right w:w="108" w:type="dxa"/>
          </w:tblCellMar>
        </w:tblPrEx>
        <w:trPr>
          <w:trHeight w:val="567"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contextualSpacing/>
              <w:jc w:val="center"/>
              <w:rPr>
                <w:rFonts w:ascii="黑体" w:hAnsi="黑体" w:eastAsia="黑体"/>
                <w:sz w:val="24"/>
                <w:szCs w:val="24"/>
              </w:rPr>
            </w:pPr>
            <w:r>
              <w:rPr>
                <w:rFonts w:hint="eastAsia" w:ascii="黑体" w:hAnsi="黑体" w:eastAsia="黑体"/>
                <w:kern w:val="0"/>
                <w:sz w:val="24"/>
                <w:szCs w:val="24"/>
              </w:rPr>
              <w:t>森林公园</w:t>
            </w:r>
          </w:p>
        </w:tc>
      </w:tr>
      <w:tr>
        <w:tblPrEx>
          <w:tblCellMar>
            <w:top w:w="0" w:type="dxa"/>
            <w:left w:w="108" w:type="dxa"/>
            <w:bottom w:w="0" w:type="dxa"/>
            <w:right w:w="108" w:type="dxa"/>
          </w:tblCellMar>
        </w:tblPrEx>
        <w:trPr>
          <w:trHeight w:val="567"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contextualSpacing/>
              <w:jc w:val="center"/>
              <w:textAlignment w:val="center"/>
              <w:rPr>
                <w:rFonts w:ascii="仿宋_GB2312" w:eastAsia="仿宋_GB2312"/>
                <w:sz w:val="24"/>
                <w:szCs w:val="24"/>
              </w:rPr>
            </w:pPr>
            <w:r>
              <w:rPr>
                <w:rFonts w:ascii="仿宋_GB2312" w:eastAsia="仿宋_GB2312"/>
                <w:kern w:val="0"/>
                <w:sz w:val="24"/>
                <w:szCs w:val="24"/>
              </w:rPr>
              <w:t>1</w:t>
            </w:r>
          </w:p>
        </w:tc>
        <w:tc>
          <w:tcPr>
            <w:tcW w:w="3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内蒙古桦木沟国家森林公园</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国家级</w:t>
            </w:r>
          </w:p>
        </w:tc>
      </w:tr>
      <w:tr>
        <w:tblPrEx>
          <w:tblCellMar>
            <w:top w:w="0" w:type="dxa"/>
            <w:left w:w="108" w:type="dxa"/>
            <w:bottom w:w="0" w:type="dxa"/>
            <w:right w:w="108" w:type="dxa"/>
          </w:tblCellMar>
        </w:tblPrEx>
        <w:trPr>
          <w:trHeight w:val="567"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contextualSpacing/>
              <w:jc w:val="center"/>
              <w:textAlignment w:val="center"/>
              <w:rPr>
                <w:rFonts w:ascii="仿宋_GB2312" w:eastAsia="仿宋_GB2312"/>
                <w:sz w:val="24"/>
                <w:szCs w:val="24"/>
              </w:rPr>
            </w:pPr>
            <w:r>
              <w:rPr>
                <w:rFonts w:ascii="仿宋_GB2312" w:eastAsia="仿宋_GB2312"/>
                <w:kern w:val="0"/>
                <w:sz w:val="24"/>
                <w:szCs w:val="24"/>
              </w:rPr>
              <w:t>2</w:t>
            </w:r>
          </w:p>
        </w:tc>
        <w:tc>
          <w:tcPr>
            <w:tcW w:w="3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内蒙古马鞍山国家森林公园</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国家级</w:t>
            </w:r>
          </w:p>
        </w:tc>
      </w:tr>
      <w:tr>
        <w:tblPrEx>
          <w:tblCellMar>
            <w:top w:w="0" w:type="dxa"/>
            <w:left w:w="108" w:type="dxa"/>
            <w:bottom w:w="0" w:type="dxa"/>
            <w:right w:w="108" w:type="dxa"/>
          </w:tblCellMar>
        </w:tblPrEx>
        <w:trPr>
          <w:trHeight w:val="567"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contextualSpacing/>
              <w:jc w:val="center"/>
              <w:textAlignment w:val="center"/>
              <w:rPr>
                <w:rFonts w:ascii="仿宋_GB2312" w:eastAsia="仿宋_GB2312"/>
                <w:sz w:val="24"/>
                <w:szCs w:val="24"/>
              </w:rPr>
            </w:pPr>
            <w:r>
              <w:rPr>
                <w:rFonts w:ascii="仿宋_GB2312" w:eastAsia="仿宋_GB2312"/>
                <w:kern w:val="0"/>
                <w:sz w:val="24"/>
                <w:szCs w:val="24"/>
              </w:rPr>
              <w:t>3</w:t>
            </w:r>
          </w:p>
        </w:tc>
        <w:tc>
          <w:tcPr>
            <w:tcW w:w="3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内蒙古旺业店国家森林公园</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国家级</w:t>
            </w:r>
          </w:p>
        </w:tc>
      </w:tr>
      <w:tr>
        <w:tblPrEx>
          <w:tblCellMar>
            <w:top w:w="0" w:type="dxa"/>
            <w:left w:w="108" w:type="dxa"/>
            <w:bottom w:w="0" w:type="dxa"/>
            <w:right w:w="108" w:type="dxa"/>
          </w:tblCellMar>
        </w:tblPrEx>
        <w:trPr>
          <w:trHeight w:val="567"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contextualSpacing/>
              <w:jc w:val="center"/>
              <w:textAlignment w:val="center"/>
              <w:rPr>
                <w:rFonts w:ascii="仿宋_GB2312" w:eastAsia="仿宋_GB2312"/>
                <w:sz w:val="24"/>
                <w:szCs w:val="24"/>
              </w:rPr>
            </w:pPr>
            <w:r>
              <w:rPr>
                <w:rFonts w:ascii="仿宋_GB2312" w:eastAsia="仿宋_GB2312"/>
                <w:kern w:val="0"/>
                <w:sz w:val="24"/>
                <w:szCs w:val="24"/>
              </w:rPr>
              <w:t>4</w:t>
            </w:r>
          </w:p>
        </w:tc>
        <w:tc>
          <w:tcPr>
            <w:tcW w:w="3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内蒙古红山国家森林公园</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国家级</w:t>
            </w:r>
          </w:p>
        </w:tc>
      </w:tr>
      <w:tr>
        <w:tblPrEx>
          <w:tblCellMar>
            <w:top w:w="0" w:type="dxa"/>
            <w:left w:w="108" w:type="dxa"/>
            <w:bottom w:w="0" w:type="dxa"/>
            <w:right w:w="108" w:type="dxa"/>
          </w:tblCellMar>
        </w:tblPrEx>
        <w:trPr>
          <w:trHeight w:val="567"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contextualSpacing/>
              <w:jc w:val="center"/>
              <w:textAlignment w:val="center"/>
              <w:rPr>
                <w:rFonts w:ascii="仿宋_GB2312" w:eastAsia="仿宋_GB2312"/>
                <w:sz w:val="24"/>
                <w:szCs w:val="24"/>
              </w:rPr>
            </w:pPr>
            <w:r>
              <w:rPr>
                <w:rFonts w:ascii="仿宋_GB2312" w:eastAsia="仿宋_GB2312"/>
                <w:kern w:val="0"/>
                <w:sz w:val="24"/>
                <w:szCs w:val="24"/>
              </w:rPr>
              <w:t>5</w:t>
            </w:r>
          </w:p>
        </w:tc>
        <w:tc>
          <w:tcPr>
            <w:tcW w:w="3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内蒙古根皮自治区森林公园</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自治区级</w:t>
            </w:r>
          </w:p>
        </w:tc>
      </w:tr>
      <w:tr>
        <w:tblPrEx>
          <w:tblCellMar>
            <w:top w:w="0" w:type="dxa"/>
            <w:left w:w="108" w:type="dxa"/>
            <w:bottom w:w="0" w:type="dxa"/>
            <w:right w:w="108" w:type="dxa"/>
          </w:tblCellMar>
        </w:tblPrEx>
        <w:trPr>
          <w:trHeight w:val="567"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contextualSpacing/>
              <w:jc w:val="center"/>
              <w:textAlignment w:val="center"/>
              <w:rPr>
                <w:rFonts w:ascii="仿宋_GB2312" w:eastAsia="仿宋_GB2312"/>
                <w:sz w:val="24"/>
                <w:szCs w:val="24"/>
              </w:rPr>
            </w:pPr>
            <w:r>
              <w:rPr>
                <w:rFonts w:ascii="仿宋_GB2312" w:eastAsia="仿宋_GB2312"/>
                <w:kern w:val="0"/>
                <w:sz w:val="24"/>
                <w:szCs w:val="24"/>
              </w:rPr>
              <w:t>6</w:t>
            </w:r>
          </w:p>
        </w:tc>
        <w:tc>
          <w:tcPr>
            <w:tcW w:w="3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内蒙古大板自治区森林公园</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自治区级</w:t>
            </w:r>
          </w:p>
        </w:tc>
      </w:tr>
      <w:tr>
        <w:tblPrEx>
          <w:tblCellMar>
            <w:top w:w="0" w:type="dxa"/>
            <w:left w:w="108" w:type="dxa"/>
            <w:bottom w:w="0" w:type="dxa"/>
            <w:right w:w="108" w:type="dxa"/>
          </w:tblCellMar>
        </w:tblPrEx>
        <w:trPr>
          <w:trHeight w:val="567"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contextualSpacing/>
              <w:jc w:val="center"/>
              <w:textAlignment w:val="center"/>
              <w:rPr>
                <w:rFonts w:ascii="仿宋_GB2312" w:eastAsia="仿宋_GB2312"/>
                <w:sz w:val="24"/>
                <w:szCs w:val="24"/>
              </w:rPr>
            </w:pPr>
            <w:r>
              <w:rPr>
                <w:rFonts w:ascii="仿宋_GB2312" w:eastAsia="仿宋_GB2312"/>
                <w:kern w:val="0"/>
                <w:sz w:val="24"/>
                <w:szCs w:val="24"/>
              </w:rPr>
              <w:t>7</w:t>
            </w:r>
          </w:p>
        </w:tc>
        <w:tc>
          <w:tcPr>
            <w:tcW w:w="3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内蒙古大冷山自治区森林公园</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自治区级</w:t>
            </w:r>
          </w:p>
        </w:tc>
      </w:tr>
      <w:tr>
        <w:tblPrEx>
          <w:tblCellMar>
            <w:top w:w="0" w:type="dxa"/>
            <w:left w:w="108" w:type="dxa"/>
            <w:bottom w:w="0" w:type="dxa"/>
            <w:right w:w="108" w:type="dxa"/>
          </w:tblCellMar>
        </w:tblPrEx>
        <w:trPr>
          <w:trHeight w:val="567"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contextualSpacing/>
              <w:jc w:val="center"/>
              <w:textAlignment w:val="center"/>
              <w:rPr>
                <w:rFonts w:ascii="仿宋_GB2312" w:eastAsia="仿宋_GB2312"/>
                <w:sz w:val="24"/>
                <w:szCs w:val="24"/>
              </w:rPr>
            </w:pPr>
            <w:r>
              <w:rPr>
                <w:rFonts w:ascii="仿宋_GB2312" w:eastAsia="仿宋_GB2312"/>
                <w:kern w:val="0"/>
                <w:sz w:val="24"/>
                <w:szCs w:val="24"/>
              </w:rPr>
              <w:t>8</w:t>
            </w:r>
          </w:p>
        </w:tc>
        <w:tc>
          <w:tcPr>
            <w:tcW w:w="3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内蒙古飞云渡自治区森林公园</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自治区级</w:t>
            </w:r>
          </w:p>
        </w:tc>
      </w:tr>
      <w:tr>
        <w:tblPrEx>
          <w:tblCellMar>
            <w:top w:w="0" w:type="dxa"/>
            <w:left w:w="108" w:type="dxa"/>
            <w:bottom w:w="0" w:type="dxa"/>
            <w:right w:w="108" w:type="dxa"/>
          </w:tblCellMar>
        </w:tblPrEx>
        <w:trPr>
          <w:trHeight w:val="567"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contextualSpacing/>
              <w:jc w:val="center"/>
              <w:textAlignment w:val="center"/>
              <w:rPr>
                <w:rFonts w:ascii="仿宋_GB2312" w:eastAsia="仿宋_GB2312"/>
                <w:sz w:val="24"/>
                <w:szCs w:val="24"/>
              </w:rPr>
            </w:pPr>
            <w:r>
              <w:rPr>
                <w:rFonts w:ascii="仿宋_GB2312" w:eastAsia="仿宋_GB2312"/>
                <w:kern w:val="0"/>
                <w:sz w:val="24"/>
                <w:szCs w:val="24"/>
              </w:rPr>
              <w:t>9</w:t>
            </w:r>
          </w:p>
        </w:tc>
        <w:tc>
          <w:tcPr>
            <w:tcW w:w="3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内蒙古平顶山自治区森林公园</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自治区级</w:t>
            </w:r>
          </w:p>
        </w:tc>
      </w:tr>
      <w:tr>
        <w:tblPrEx>
          <w:tblCellMar>
            <w:top w:w="0" w:type="dxa"/>
            <w:left w:w="108" w:type="dxa"/>
            <w:bottom w:w="0" w:type="dxa"/>
            <w:right w:w="108" w:type="dxa"/>
          </w:tblCellMar>
        </w:tblPrEx>
        <w:trPr>
          <w:trHeight w:val="567"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contextualSpacing/>
              <w:jc w:val="center"/>
              <w:textAlignment w:val="center"/>
              <w:rPr>
                <w:rFonts w:ascii="仿宋_GB2312" w:eastAsia="仿宋_GB2312"/>
                <w:sz w:val="24"/>
                <w:szCs w:val="24"/>
              </w:rPr>
            </w:pPr>
            <w:r>
              <w:rPr>
                <w:rFonts w:ascii="仿宋_GB2312" w:eastAsia="仿宋_GB2312"/>
                <w:kern w:val="0"/>
                <w:sz w:val="24"/>
                <w:szCs w:val="24"/>
              </w:rPr>
              <w:t>10</w:t>
            </w:r>
          </w:p>
        </w:tc>
        <w:tc>
          <w:tcPr>
            <w:tcW w:w="3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内蒙古乌良苏自治区森林公园</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自治区级</w:t>
            </w:r>
          </w:p>
        </w:tc>
      </w:tr>
      <w:tr>
        <w:tblPrEx>
          <w:tblCellMar>
            <w:top w:w="0" w:type="dxa"/>
            <w:left w:w="108" w:type="dxa"/>
            <w:bottom w:w="0" w:type="dxa"/>
            <w:right w:w="108" w:type="dxa"/>
          </w:tblCellMar>
        </w:tblPrEx>
        <w:trPr>
          <w:trHeight w:val="567"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contextualSpacing/>
              <w:jc w:val="center"/>
              <w:rPr>
                <w:rFonts w:ascii="黑体" w:hAnsi="黑体" w:eastAsia="黑体"/>
                <w:sz w:val="24"/>
                <w:szCs w:val="24"/>
              </w:rPr>
            </w:pPr>
            <w:r>
              <w:rPr>
                <w:rFonts w:hint="eastAsia" w:ascii="黑体" w:hAnsi="黑体" w:eastAsia="黑体"/>
                <w:kern w:val="0"/>
                <w:sz w:val="24"/>
                <w:szCs w:val="24"/>
              </w:rPr>
              <w:t>地质公园</w:t>
            </w:r>
          </w:p>
        </w:tc>
      </w:tr>
      <w:tr>
        <w:tblPrEx>
          <w:tblCellMar>
            <w:top w:w="0" w:type="dxa"/>
            <w:left w:w="108" w:type="dxa"/>
            <w:bottom w:w="0" w:type="dxa"/>
            <w:right w:w="108" w:type="dxa"/>
          </w:tblCellMar>
        </w:tblPrEx>
        <w:trPr>
          <w:trHeight w:val="567"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contextualSpacing/>
              <w:jc w:val="center"/>
              <w:textAlignment w:val="center"/>
              <w:rPr>
                <w:rFonts w:ascii="仿宋_GB2312" w:eastAsia="仿宋_GB2312"/>
                <w:sz w:val="24"/>
                <w:szCs w:val="24"/>
              </w:rPr>
            </w:pPr>
            <w:r>
              <w:rPr>
                <w:rFonts w:ascii="仿宋_GB2312" w:eastAsia="仿宋_GB2312"/>
                <w:kern w:val="0"/>
                <w:sz w:val="24"/>
                <w:szCs w:val="24"/>
              </w:rPr>
              <w:t>1</w:t>
            </w:r>
          </w:p>
        </w:tc>
        <w:tc>
          <w:tcPr>
            <w:tcW w:w="3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巴林左旗七锅山国家地质公园</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国家级</w:t>
            </w:r>
          </w:p>
        </w:tc>
      </w:tr>
      <w:tr>
        <w:tblPrEx>
          <w:tblCellMar>
            <w:top w:w="0" w:type="dxa"/>
            <w:left w:w="108" w:type="dxa"/>
            <w:bottom w:w="0" w:type="dxa"/>
            <w:right w:w="108" w:type="dxa"/>
          </w:tblCellMar>
        </w:tblPrEx>
        <w:trPr>
          <w:trHeight w:val="567"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contextualSpacing/>
              <w:jc w:val="center"/>
              <w:textAlignment w:val="center"/>
              <w:rPr>
                <w:rFonts w:ascii="仿宋_GB2312" w:eastAsia="仿宋_GB2312"/>
                <w:sz w:val="24"/>
                <w:szCs w:val="24"/>
              </w:rPr>
            </w:pPr>
            <w:r>
              <w:rPr>
                <w:rFonts w:ascii="仿宋_GB2312" w:eastAsia="仿宋_GB2312"/>
                <w:kern w:val="0"/>
                <w:sz w:val="24"/>
                <w:szCs w:val="24"/>
              </w:rPr>
              <w:t>2</w:t>
            </w:r>
          </w:p>
        </w:tc>
        <w:tc>
          <w:tcPr>
            <w:tcW w:w="3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内蒙古克什克腾旗国家地质公园</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国家级</w:t>
            </w:r>
          </w:p>
        </w:tc>
      </w:tr>
      <w:tr>
        <w:tblPrEx>
          <w:tblCellMar>
            <w:top w:w="0" w:type="dxa"/>
            <w:left w:w="108" w:type="dxa"/>
            <w:bottom w:w="0" w:type="dxa"/>
            <w:right w:w="108" w:type="dxa"/>
          </w:tblCellMar>
        </w:tblPrEx>
        <w:trPr>
          <w:trHeight w:val="567"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contextualSpacing/>
              <w:jc w:val="center"/>
              <w:textAlignment w:val="center"/>
              <w:rPr>
                <w:rFonts w:ascii="仿宋_GB2312" w:eastAsia="仿宋_GB2312"/>
                <w:sz w:val="24"/>
                <w:szCs w:val="24"/>
              </w:rPr>
            </w:pPr>
            <w:r>
              <w:rPr>
                <w:rFonts w:ascii="仿宋_GB2312" w:eastAsia="仿宋_GB2312"/>
                <w:kern w:val="0"/>
                <w:sz w:val="24"/>
                <w:szCs w:val="24"/>
              </w:rPr>
              <w:t>3</w:t>
            </w:r>
          </w:p>
        </w:tc>
        <w:tc>
          <w:tcPr>
            <w:tcW w:w="3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内蒙古宁城国家地质公园</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国家级</w:t>
            </w:r>
          </w:p>
        </w:tc>
      </w:tr>
      <w:tr>
        <w:tblPrEx>
          <w:tblCellMar>
            <w:top w:w="0" w:type="dxa"/>
            <w:left w:w="108" w:type="dxa"/>
            <w:bottom w:w="0" w:type="dxa"/>
            <w:right w:w="108" w:type="dxa"/>
          </w:tblCellMar>
        </w:tblPrEx>
        <w:trPr>
          <w:trHeight w:val="567"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contextualSpacing/>
              <w:jc w:val="center"/>
              <w:textAlignment w:val="center"/>
              <w:rPr>
                <w:rFonts w:ascii="仿宋_GB2312" w:eastAsia="仿宋_GB2312"/>
                <w:sz w:val="24"/>
                <w:szCs w:val="24"/>
              </w:rPr>
            </w:pPr>
            <w:r>
              <w:rPr>
                <w:rFonts w:ascii="仿宋_GB2312" w:eastAsia="仿宋_GB2312"/>
                <w:kern w:val="0"/>
                <w:sz w:val="24"/>
                <w:szCs w:val="24"/>
              </w:rPr>
              <w:t>4</w:t>
            </w:r>
          </w:p>
        </w:tc>
        <w:tc>
          <w:tcPr>
            <w:tcW w:w="3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内蒙古翁牛特自治区地质公园</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自治区级</w:t>
            </w:r>
          </w:p>
        </w:tc>
      </w:tr>
      <w:tr>
        <w:tblPrEx>
          <w:tblCellMar>
            <w:top w:w="0" w:type="dxa"/>
            <w:left w:w="108" w:type="dxa"/>
            <w:bottom w:w="0" w:type="dxa"/>
            <w:right w:w="108" w:type="dxa"/>
          </w:tblCellMar>
        </w:tblPrEx>
        <w:trPr>
          <w:trHeight w:val="567"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contextualSpacing/>
              <w:jc w:val="center"/>
              <w:rPr>
                <w:rFonts w:ascii="仿宋_GB2312" w:eastAsia="仿宋_GB2312"/>
                <w:sz w:val="24"/>
                <w:szCs w:val="24"/>
              </w:rPr>
            </w:pPr>
            <w:r>
              <w:rPr>
                <w:rFonts w:hint="eastAsia" w:ascii="黑体" w:hAnsi="黑体" w:eastAsia="黑体"/>
                <w:sz w:val="24"/>
                <w:szCs w:val="24"/>
              </w:rPr>
              <w:t>湿地公园</w:t>
            </w:r>
          </w:p>
        </w:tc>
      </w:tr>
      <w:tr>
        <w:tblPrEx>
          <w:tblCellMar>
            <w:top w:w="0" w:type="dxa"/>
            <w:left w:w="108" w:type="dxa"/>
            <w:bottom w:w="0" w:type="dxa"/>
            <w:right w:w="108" w:type="dxa"/>
          </w:tblCellMar>
        </w:tblPrEx>
        <w:trPr>
          <w:trHeight w:val="567"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contextualSpacing/>
              <w:jc w:val="center"/>
              <w:textAlignment w:val="center"/>
              <w:rPr>
                <w:rFonts w:ascii="仿宋_GB2312" w:eastAsia="仿宋_GB2312"/>
                <w:sz w:val="24"/>
                <w:szCs w:val="24"/>
              </w:rPr>
            </w:pPr>
            <w:r>
              <w:rPr>
                <w:rFonts w:ascii="仿宋_GB2312" w:eastAsia="仿宋_GB2312"/>
                <w:kern w:val="0"/>
                <w:sz w:val="24"/>
                <w:szCs w:val="24"/>
              </w:rPr>
              <w:t>1</w:t>
            </w:r>
          </w:p>
        </w:tc>
        <w:tc>
          <w:tcPr>
            <w:tcW w:w="3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巴林左旗乌力吉沐沦河国家湿地公园</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国家级</w:t>
            </w:r>
          </w:p>
        </w:tc>
      </w:tr>
      <w:tr>
        <w:tblPrEx>
          <w:tblCellMar>
            <w:top w:w="0" w:type="dxa"/>
            <w:left w:w="108" w:type="dxa"/>
            <w:bottom w:w="0" w:type="dxa"/>
            <w:right w:w="108" w:type="dxa"/>
          </w:tblCellMar>
        </w:tblPrEx>
        <w:trPr>
          <w:trHeight w:val="567"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contextualSpacing/>
              <w:jc w:val="center"/>
              <w:rPr>
                <w:rFonts w:ascii="仿宋_GB2312" w:eastAsia="仿宋_GB2312"/>
                <w:sz w:val="24"/>
                <w:szCs w:val="24"/>
              </w:rPr>
            </w:pPr>
            <w:r>
              <w:rPr>
                <w:rFonts w:hint="eastAsia" w:ascii="黑体" w:hAnsi="黑体" w:eastAsia="黑体"/>
                <w:sz w:val="24"/>
                <w:szCs w:val="24"/>
              </w:rPr>
              <w:t>草原公园</w:t>
            </w:r>
          </w:p>
        </w:tc>
      </w:tr>
      <w:tr>
        <w:tblPrEx>
          <w:tblCellMar>
            <w:top w:w="0" w:type="dxa"/>
            <w:left w:w="108" w:type="dxa"/>
            <w:bottom w:w="0" w:type="dxa"/>
            <w:right w:w="108" w:type="dxa"/>
          </w:tblCellMar>
        </w:tblPrEx>
        <w:trPr>
          <w:trHeight w:val="567"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contextualSpacing/>
              <w:jc w:val="center"/>
              <w:textAlignment w:val="center"/>
              <w:rPr>
                <w:rFonts w:ascii="仿宋_GB2312" w:eastAsia="仿宋_GB2312"/>
                <w:sz w:val="24"/>
                <w:szCs w:val="24"/>
              </w:rPr>
            </w:pPr>
            <w:r>
              <w:rPr>
                <w:rFonts w:ascii="仿宋_GB2312" w:eastAsia="仿宋_GB2312"/>
                <w:kern w:val="0"/>
                <w:sz w:val="24"/>
                <w:szCs w:val="24"/>
              </w:rPr>
              <w:t>1</w:t>
            </w:r>
          </w:p>
        </w:tc>
        <w:tc>
          <w:tcPr>
            <w:tcW w:w="3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内蒙古塔林花国家草原公园</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国家级</w:t>
            </w:r>
          </w:p>
        </w:tc>
      </w:tr>
      <w:tr>
        <w:tblPrEx>
          <w:tblCellMar>
            <w:top w:w="0" w:type="dxa"/>
            <w:left w:w="108" w:type="dxa"/>
            <w:bottom w:w="0" w:type="dxa"/>
            <w:right w:w="108" w:type="dxa"/>
          </w:tblCellMar>
        </w:tblPrEx>
        <w:trPr>
          <w:trHeight w:val="567"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contextualSpacing/>
              <w:jc w:val="center"/>
              <w:rPr>
                <w:rFonts w:ascii="仿宋_GB2312" w:eastAsia="仿宋_GB2312"/>
                <w:sz w:val="24"/>
                <w:szCs w:val="24"/>
              </w:rPr>
            </w:pPr>
            <w:r>
              <w:rPr>
                <w:rFonts w:hint="eastAsia" w:ascii="黑体" w:hAnsi="黑体" w:eastAsia="黑体"/>
                <w:sz w:val="24"/>
                <w:szCs w:val="24"/>
              </w:rPr>
              <w:t>饮用水水源保护区</w:t>
            </w:r>
          </w:p>
        </w:tc>
      </w:tr>
      <w:tr>
        <w:tblPrEx>
          <w:tblCellMar>
            <w:top w:w="0" w:type="dxa"/>
            <w:left w:w="108" w:type="dxa"/>
            <w:bottom w:w="0" w:type="dxa"/>
            <w:right w:w="108" w:type="dxa"/>
          </w:tblCellMar>
        </w:tblPrEx>
        <w:trPr>
          <w:trHeight w:val="567"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contextualSpacing/>
              <w:jc w:val="center"/>
              <w:textAlignment w:val="center"/>
              <w:rPr>
                <w:rFonts w:ascii="仿宋_GB2312" w:eastAsia="仿宋_GB2312"/>
                <w:sz w:val="24"/>
                <w:szCs w:val="24"/>
              </w:rPr>
            </w:pPr>
            <w:r>
              <w:rPr>
                <w:rFonts w:ascii="仿宋_GB2312" w:eastAsia="仿宋_GB2312"/>
                <w:kern w:val="0"/>
                <w:sz w:val="24"/>
                <w:szCs w:val="24"/>
              </w:rPr>
              <w:t>1</w:t>
            </w:r>
          </w:p>
        </w:tc>
        <w:tc>
          <w:tcPr>
            <w:tcW w:w="3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赤峰市松山区三座店水库集中式饮用水水源地</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盟市级</w:t>
            </w:r>
          </w:p>
        </w:tc>
      </w:tr>
      <w:tr>
        <w:tblPrEx>
          <w:tblCellMar>
            <w:top w:w="0" w:type="dxa"/>
            <w:left w:w="108" w:type="dxa"/>
            <w:bottom w:w="0" w:type="dxa"/>
            <w:right w:w="108" w:type="dxa"/>
          </w:tblCellMar>
        </w:tblPrEx>
        <w:trPr>
          <w:trHeight w:val="567"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contextualSpacing/>
              <w:jc w:val="center"/>
              <w:textAlignment w:val="center"/>
              <w:rPr>
                <w:rFonts w:ascii="仿宋_GB2312" w:eastAsia="仿宋_GB2312"/>
                <w:sz w:val="24"/>
                <w:szCs w:val="24"/>
              </w:rPr>
            </w:pPr>
            <w:r>
              <w:rPr>
                <w:rFonts w:ascii="仿宋_GB2312" w:eastAsia="仿宋_GB2312"/>
                <w:kern w:val="0"/>
                <w:sz w:val="24"/>
                <w:szCs w:val="24"/>
              </w:rPr>
              <w:t>2</w:t>
            </w:r>
          </w:p>
        </w:tc>
        <w:tc>
          <w:tcPr>
            <w:tcW w:w="3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松山二水厂水源地保护区</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盟市级</w:t>
            </w:r>
          </w:p>
        </w:tc>
      </w:tr>
      <w:tr>
        <w:tblPrEx>
          <w:tblCellMar>
            <w:top w:w="0" w:type="dxa"/>
            <w:left w:w="108" w:type="dxa"/>
            <w:bottom w:w="0" w:type="dxa"/>
            <w:right w:w="108" w:type="dxa"/>
          </w:tblCellMar>
        </w:tblPrEx>
        <w:trPr>
          <w:trHeight w:val="567"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contextualSpacing/>
              <w:jc w:val="center"/>
              <w:textAlignment w:val="center"/>
              <w:rPr>
                <w:rFonts w:ascii="仿宋_GB2312" w:eastAsia="仿宋_GB2312"/>
                <w:sz w:val="24"/>
                <w:szCs w:val="24"/>
              </w:rPr>
            </w:pPr>
            <w:r>
              <w:rPr>
                <w:rFonts w:ascii="仿宋_GB2312" w:eastAsia="仿宋_GB2312"/>
                <w:kern w:val="0"/>
                <w:sz w:val="24"/>
                <w:szCs w:val="24"/>
              </w:rPr>
              <w:t>3</w:t>
            </w:r>
          </w:p>
        </w:tc>
        <w:tc>
          <w:tcPr>
            <w:tcW w:w="3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松山九龙水厂水源地保护区</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盟市级</w:t>
            </w:r>
          </w:p>
        </w:tc>
      </w:tr>
      <w:tr>
        <w:tblPrEx>
          <w:tblCellMar>
            <w:top w:w="0" w:type="dxa"/>
            <w:left w:w="108" w:type="dxa"/>
            <w:bottom w:w="0" w:type="dxa"/>
            <w:right w:w="108" w:type="dxa"/>
          </w:tblCellMar>
        </w:tblPrEx>
        <w:trPr>
          <w:trHeight w:val="567"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contextualSpacing/>
              <w:jc w:val="center"/>
              <w:textAlignment w:val="center"/>
              <w:rPr>
                <w:rFonts w:ascii="仿宋_GB2312" w:eastAsia="仿宋_GB2312"/>
                <w:sz w:val="24"/>
                <w:szCs w:val="24"/>
              </w:rPr>
            </w:pPr>
            <w:r>
              <w:rPr>
                <w:rFonts w:ascii="仿宋_GB2312" w:eastAsia="仿宋_GB2312"/>
                <w:kern w:val="0"/>
                <w:sz w:val="24"/>
                <w:szCs w:val="24"/>
              </w:rPr>
              <w:t>4</w:t>
            </w:r>
          </w:p>
        </w:tc>
        <w:tc>
          <w:tcPr>
            <w:tcW w:w="3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阿鲁科尔沁旗旗县级水源保护区</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旗县级</w:t>
            </w:r>
          </w:p>
        </w:tc>
      </w:tr>
      <w:tr>
        <w:tblPrEx>
          <w:tblCellMar>
            <w:top w:w="0" w:type="dxa"/>
            <w:left w:w="108" w:type="dxa"/>
            <w:bottom w:w="0" w:type="dxa"/>
            <w:right w:w="108" w:type="dxa"/>
          </w:tblCellMar>
        </w:tblPrEx>
        <w:trPr>
          <w:trHeight w:val="567"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contextualSpacing/>
              <w:jc w:val="center"/>
              <w:textAlignment w:val="center"/>
              <w:rPr>
                <w:rFonts w:ascii="仿宋_GB2312" w:eastAsia="仿宋_GB2312"/>
                <w:sz w:val="24"/>
                <w:szCs w:val="24"/>
              </w:rPr>
            </w:pPr>
            <w:r>
              <w:rPr>
                <w:rFonts w:ascii="仿宋_GB2312" w:eastAsia="仿宋_GB2312"/>
                <w:kern w:val="0"/>
                <w:sz w:val="24"/>
                <w:szCs w:val="24"/>
              </w:rPr>
              <w:t>5</w:t>
            </w:r>
          </w:p>
        </w:tc>
        <w:tc>
          <w:tcPr>
            <w:tcW w:w="3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巴林左旗旗县级水源保护区</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旗县级</w:t>
            </w:r>
          </w:p>
        </w:tc>
      </w:tr>
      <w:tr>
        <w:tblPrEx>
          <w:tblCellMar>
            <w:top w:w="0" w:type="dxa"/>
            <w:left w:w="108" w:type="dxa"/>
            <w:bottom w:w="0" w:type="dxa"/>
            <w:right w:w="108" w:type="dxa"/>
          </w:tblCellMar>
        </w:tblPrEx>
        <w:trPr>
          <w:trHeight w:val="567"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contextualSpacing/>
              <w:jc w:val="center"/>
              <w:textAlignment w:val="center"/>
              <w:rPr>
                <w:rFonts w:ascii="仿宋_GB2312" w:eastAsia="仿宋_GB2312"/>
                <w:sz w:val="24"/>
                <w:szCs w:val="24"/>
              </w:rPr>
            </w:pPr>
            <w:r>
              <w:rPr>
                <w:rFonts w:ascii="仿宋_GB2312" w:eastAsia="仿宋_GB2312"/>
                <w:kern w:val="0"/>
                <w:sz w:val="24"/>
                <w:szCs w:val="24"/>
              </w:rPr>
              <w:t>6</w:t>
            </w:r>
          </w:p>
        </w:tc>
        <w:tc>
          <w:tcPr>
            <w:tcW w:w="3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巴林右旗旗县级水源保护区</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旗县级</w:t>
            </w:r>
          </w:p>
        </w:tc>
      </w:tr>
      <w:tr>
        <w:tblPrEx>
          <w:tblCellMar>
            <w:top w:w="0" w:type="dxa"/>
            <w:left w:w="108" w:type="dxa"/>
            <w:bottom w:w="0" w:type="dxa"/>
            <w:right w:w="108" w:type="dxa"/>
          </w:tblCellMar>
        </w:tblPrEx>
        <w:trPr>
          <w:trHeight w:val="567"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contextualSpacing/>
              <w:jc w:val="center"/>
              <w:textAlignment w:val="center"/>
              <w:rPr>
                <w:rFonts w:ascii="仿宋_GB2312" w:eastAsia="仿宋_GB2312"/>
                <w:sz w:val="24"/>
                <w:szCs w:val="24"/>
              </w:rPr>
            </w:pPr>
            <w:r>
              <w:rPr>
                <w:rFonts w:ascii="仿宋_GB2312" w:eastAsia="仿宋_GB2312"/>
                <w:kern w:val="0"/>
                <w:sz w:val="24"/>
                <w:szCs w:val="24"/>
              </w:rPr>
              <w:t>7</w:t>
            </w:r>
          </w:p>
        </w:tc>
        <w:tc>
          <w:tcPr>
            <w:tcW w:w="3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林西县旗县级水源保护区</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旗县级</w:t>
            </w:r>
          </w:p>
        </w:tc>
      </w:tr>
      <w:tr>
        <w:tblPrEx>
          <w:tblCellMar>
            <w:top w:w="0" w:type="dxa"/>
            <w:left w:w="108" w:type="dxa"/>
            <w:bottom w:w="0" w:type="dxa"/>
            <w:right w:w="108" w:type="dxa"/>
          </w:tblCellMar>
        </w:tblPrEx>
        <w:trPr>
          <w:trHeight w:val="567"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contextualSpacing/>
              <w:jc w:val="center"/>
              <w:textAlignment w:val="center"/>
              <w:rPr>
                <w:rFonts w:ascii="仿宋_GB2312" w:eastAsia="仿宋_GB2312"/>
                <w:sz w:val="24"/>
                <w:szCs w:val="24"/>
              </w:rPr>
            </w:pPr>
            <w:r>
              <w:rPr>
                <w:rFonts w:ascii="仿宋_GB2312" w:eastAsia="仿宋_GB2312"/>
                <w:kern w:val="0"/>
                <w:sz w:val="24"/>
                <w:szCs w:val="24"/>
              </w:rPr>
              <w:t>8</w:t>
            </w:r>
          </w:p>
        </w:tc>
        <w:tc>
          <w:tcPr>
            <w:tcW w:w="3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克什克腾旗旗县级水源保护区</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旗县级</w:t>
            </w:r>
          </w:p>
        </w:tc>
      </w:tr>
      <w:tr>
        <w:tblPrEx>
          <w:tblCellMar>
            <w:top w:w="0" w:type="dxa"/>
            <w:left w:w="108" w:type="dxa"/>
            <w:bottom w:w="0" w:type="dxa"/>
            <w:right w:w="108" w:type="dxa"/>
          </w:tblCellMar>
        </w:tblPrEx>
        <w:trPr>
          <w:trHeight w:val="567"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contextualSpacing/>
              <w:jc w:val="center"/>
              <w:textAlignment w:val="center"/>
              <w:rPr>
                <w:rFonts w:ascii="仿宋_GB2312" w:eastAsia="仿宋_GB2312"/>
                <w:sz w:val="24"/>
                <w:szCs w:val="24"/>
              </w:rPr>
            </w:pPr>
            <w:r>
              <w:rPr>
                <w:rFonts w:ascii="仿宋_GB2312" w:eastAsia="仿宋_GB2312"/>
                <w:kern w:val="0"/>
                <w:sz w:val="24"/>
                <w:szCs w:val="24"/>
              </w:rPr>
              <w:t>9</w:t>
            </w:r>
          </w:p>
        </w:tc>
        <w:tc>
          <w:tcPr>
            <w:tcW w:w="3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翁牛特旗旗县级水源保护区</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旗县级</w:t>
            </w:r>
          </w:p>
        </w:tc>
      </w:tr>
      <w:tr>
        <w:tblPrEx>
          <w:tblCellMar>
            <w:top w:w="0" w:type="dxa"/>
            <w:left w:w="108" w:type="dxa"/>
            <w:bottom w:w="0" w:type="dxa"/>
            <w:right w:w="108" w:type="dxa"/>
          </w:tblCellMar>
        </w:tblPrEx>
        <w:trPr>
          <w:trHeight w:val="567"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contextualSpacing/>
              <w:jc w:val="center"/>
              <w:textAlignment w:val="center"/>
              <w:rPr>
                <w:rFonts w:ascii="仿宋_GB2312" w:eastAsia="仿宋_GB2312"/>
                <w:sz w:val="24"/>
                <w:szCs w:val="24"/>
              </w:rPr>
            </w:pPr>
            <w:r>
              <w:rPr>
                <w:rFonts w:ascii="仿宋_GB2312" w:eastAsia="仿宋_GB2312"/>
                <w:kern w:val="0"/>
                <w:sz w:val="24"/>
                <w:szCs w:val="24"/>
              </w:rPr>
              <w:t>10</w:t>
            </w:r>
          </w:p>
        </w:tc>
        <w:tc>
          <w:tcPr>
            <w:tcW w:w="3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喀喇沁旗旗县级水源保护区</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旗县级</w:t>
            </w:r>
          </w:p>
        </w:tc>
      </w:tr>
      <w:tr>
        <w:tblPrEx>
          <w:tblCellMar>
            <w:top w:w="0" w:type="dxa"/>
            <w:left w:w="108" w:type="dxa"/>
            <w:bottom w:w="0" w:type="dxa"/>
            <w:right w:w="108" w:type="dxa"/>
          </w:tblCellMar>
        </w:tblPrEx>
        <w:trPr>
          <w:trHeight w:val="567"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contextualSpacing/>
              <w:jc w:val="center"/>
              <w:textAlignment w:val="center"/>
              <w:rPr>
                <w:rFonts w:ascii="仿宋_GB2312" w:eastAsia="仿宋_GB2312"/>
                <w:sz w:val="24"/>
                <w:szCs w:val="24"/>
              </w:rPr>
            </w:pPr>
            <w:r>
              <w:rPr>
                <w:rFonts w:ascii="仿宋_GB2312" w:eastAsia="仿宋_GB2312"/>
                <w:kern w:val="0"/>
                <w:sz w:val="24"/>
                <w:szCs w:val="24"/>
              </w:rPr>
              <w:t>11</w:t>
            </w:r>
          </w:p>
        </w:tc>
        <w:tc>
          <w:tcPr>
            <w:tcW w:w="3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宁城县旗县级水源保护区</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旗县级</w:t>
            </w:r>
          </w:p>
        </w:tc>
      </w:tr>
      <w:tr>
        <w:tblPrEx>
          <w:tblCellMar>
            <w:top w:w="0" w:type="dxa"/>
            <w:left w:w="108" w:type="dxa"/>
            <w:bottom w:w="0" w:type="dxa"/>
            <w:right w:w="108" w:type="dxa"/>
          </w:tblCellMar>
        </w:tblPrEx>
        <w:trPr>
          <w:trHeight w:val="567"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contextualSpacing/>
              <w:jc w:val="center"/>
              <w:textAlignment w:val="center"/>
              <w:rPr>
                <w:rFonts w:ascii="仿宋_GB2312" w:eastAsia="仿宋_GB2312"/>
                <w:sz w:val="24"/>
                <w:szCs w:val="24"/>
              </w:rPr>
            </w:pPr>
            <w:r>
              <w:rPr>
                <w:rFonts w:ascii="仿宋_GB2312" w:eastAsia="仿宋_GB2312"/>
                <w:kern w:val="0"/>
                <w:sz w:val="24"/>
                <w:szCs w:val="24"/>
              </w:rPr>
              <w:t>12</w:t>
            </w:r>
          </w:p>
        </w:tc>
        <w:tc>
          <w:tcPr>
            <w:tcW w:w="3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敖汉旗旗县级水源保护区</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旗县级</w:t>
            </w:r>
          </w:p>
        </w:tc>
      </w:tr>
      <w:tr>
        <w:tblPrEx>
          <w:tblCellMar>
            <w:top w:w="0" w:type="dxa"/>
            <w:left w:w="108" w:type="dxa"/>
            <w:bottom w:w="0" w:type="dxa"/>
            <w:right w:w="108" w:type="dxa"/>
          </w:tblCellMar>
        </w:tblPrEx>
        <w:trPr>
          <w:trHeight w:val="567"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contextualSpacing/>
              <w:jc w:val="center"/>
              <w:textAlignment w:val="center"/>
              <w:rPr>
                <w:rFonts w:ascii="仿宋_GB2312" w:eastAsia="仿宋_GB2312"/>
                <w:sz w:val="24"/>
                <w:szCs w:val="24"/>
              </w:rPr>
            </w:pPr>
            <w:r>
              <w:rPr>
                <w:rFonts w:ascii="仿宋_GB2312" w:eastAsia="仿宋_GB2312"/>
                <w:kern w:val="0"/>
                <w:sz w:val="24"/>
                <w:szCs w:val="24"/>
              </w:rPr>
              <w:t>13</w:t>
            </w:r>
          </w:p>
        </w:tc>
        <w:tc>
          <w:tcPr>
            <w:tcW w:w="3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平庄城区水源地保护区</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旗县级</w:t>
            </w:r>
          </w:p>
        </w:tc>
      </w:tr>
    </w:tbl>
    <w:p>
      <w:pPr>
        <w:pStyle w:val="5"/>
        <w:ind w:firstLine="640"/>
        <w:rPr>
          <w:szCs w:val="32"/>
        </w:rPr>
      </w:pPr>
      <w:r>
        <w:rPr>
          <w:rFonts w:hint="eastAsia"/>
          <w:szCs w:val="32"/>
        </w:rPr>
        <w:t>二、环境质量现状</w:t>
      </w:r>
    </w:p>
    <w:p>
      <w:pPr>
        <w:pStyle w:val="13"/>
        <w:spacing w:line="560" w:lineRule="exact"/>
        <w:ind w:firstLine="640"/>
        <w:rPr>
          <w:szCs w:val="32"/>
        </w:rPr>
      </w:pPr>
      <w:r>
        <w:rPr>
          <w:rFonts w:hint="eastAsia"/>
          <w:szCs w:val="32"/>
        </w:rPr>
        <w:t>（一）生态环境质量现状</w:t>
      </w:r>
    </w:p>
    <w:p>
      <w:pPr>
        <w:spacing w:line="560" w:lineRule="exact"/>
        <w:ind w:firstLine="640"/>
        <w:contextualSpacing/>
        <w:rPr>
          <w:rFonts w:ascii="仿宋_GB2312" w:eastAsia="仿宋_GB2312"/>
          <w:sz w:val="32"/>
          <w:szCs w:val="32"/>
        </w:rPr>
      </w:pPr>
      <w:r>
        <w:rPr>
          <w:rFonts w:ascii="仿宋_GB2312" w:eastAsia="仿宋_GB2312"/>
          <w:sz w:val="32"/>
          <w:szCs w:val="32"/>
        </w:rPr>
        <w:t>2015年至2020年，赤峰市生态环境状况指数EI分别为50.6、52.7、51.2、52.5、53.3，生态环境状况分级为一般。生态环境状况指数变化值1≤|ΔEI|＜3，生态环境状况变化度分级为略微变化，生态环境状况波动变化分级为波动。</w:t>
      </w:r>
    </w:p>
    <w:p>
      <w:pPr>
        <w:pStyle w:val="13"/>
        <w:spacing w:line="560" w:lineRule="exact"/>
        <w:ind w:firstLine="640"/>
        <w:rPr>
          <w:szCs w:val="32"/>
        </w:rPr>
      </w:pPr>
      <w:r>
        <w:rPr>
          <w:rFonts w:hint="eastAsia"/>
          <w:szCs w:val="32"/>
        </w:rPr>
        <w:t>（二）环境空气质量现状</w:t>
      </w:r>
    </w:p>
    <w:p>
      <w:pPr>
        <w:spacing w:line="560" w:lineRule="exact"/>
        <w:ind w:firstLine="640"/>
        <w:contextualSpacing/>
        <w:rPr>
          <w:rFonts w:ascii="仿宋_GB2312" w:eastAsia="仿宋_GB2312"/>
          <w:sz w:val="32"/>
          <w:szCs w:val="32"/>
        </w:rPr>
      </w:pPr>
      <w:r>
        <w:rPr>
          <w:rFonts w:ascii="仿宋_GB2312" w:eastAsia="仿宋_GB2312"/>
          <w:sz w:val="32"/>
          <w:szCs w:val="32"/>
        </w:rPr>
        <w:t>2020年，赤峰市环境空气质量总体良好，可吸入颗粒物仍然是本市环境空气的首要污染物，好于Ⅱ级天数为348天，占监测总天数的95.1%。矿山企业生产主要涉及颗粒物排放，能够达标排放，周边环境空气质量符合标准要求。</w:t>
      </w:r>
    </w:p>
    <w:p>
      <w:pPr>
        <w:pStyle w:val="13"/>
        <w:spacing w:line="560" w:lineRule="exact"/>
        <w:ind w:firstLine="640"/>
        <w:rPr>
          <w:szCs w:val="32"/>
        </w:rPr>
      </w:pPr>
      <w:r>
        <w:rPr>
          <w:rFonts w:hint="eastAsia"/>
          <w:szCs w:val="32"/>
        </w:rPr>
        <w:t>（三）水环境质量现状</w:t>
      </w:r>
    </w:p>
    <w:p>
      <w:pPr>
        <w:spacing w:line="560" w:lineRule="exact"/>
        <w:ind w:firstLine="640"/>
        <w:contextualSpacing/>
        <w:rPr>
          <w:rFonts w:ascii="仿宋_GB2312" w:eastAsia="仿宋_GB2312"/>
          <w:sz w:val="32"/>
          <w:szCs w:val="32"/>
        </w:rPr>
      </w:pPr>
      <w:r>
        <w:rPr>
          <w:rFonts w:ascii="仿宋_GB2312" w:eastAsia="仿宋_GB2312"/>
          <w:sz w:val="32"/>
          <w:szCs w:val="32"/>
        </w:rPr>
        <w:t>2020年，赤峰市主要河流老哈河、英金河、西拉木伦河及阴河水质良好，污染程度与往年相比略呈下降趋势。地下水型集中式生活饮用水水源地水质状况良好，水质量综合评价达到Ⅲ类标准。矿山及附近地下水质量指标均达到《地下水质量标准》（GB/T14848-2017）中的Ⅲ类标准。</w:t>
      </w:r>
    </w:p>
    <w:p>
      <w:pPr>
        <w:pStyle w:val="13"/>
        <w:spacing w:line="560" w:lineRule="exact"/>
        <w:ind w:firstLine="640"/>
        <w:rPr>
          <w:szCs w:val="32"/>
        </w:rPr>
      </w:pPr>
      <w:r>
        <w:rPr>
          <w:rFonts w:hint="eastAsia"/>
          <w:szCs w:val="32"/>
        </w:rPr>
        <w:t>（四）土壤环境质量现状</w:t>
      </w:r>
    </w:p>
    <w:p>
      <w:pPr>
        <w:spacing w:line="560" w:lineRule="exact"/>
        <w:ind w:firstLine="640"/>
        <w:contextualSpacing/>
        <w:rPr>
          <w:rFonts w:ascii="仿宋_GB2312" w:eastAsia="仿宋_GB2312"/>
          <w:sz w:val="32"/>
          <w:szCs w:val="32"/>
        </w:rPr>
      </w:pPr>
      <w:r>
        <w:rPr>
          <w:rFonts w:hint="eastAsia" w:ascii="仿宋_GB2312" w:eastAsia="仿宋_GB2312"/>
          <w:sz w:val="32"/>
          <w:szCs w:val="32"/>
        </w:rPr>
        <w:t>矿山周边土壤污染物含量均低于现行土壤环境管控标准中的风险筛选值，土壤污染风险低。</w:t>
      </w:r>
    </w:p>
    <w:p>
      <w:pPr>
        <w:pStyle w:val="3"/>
        <w:spacing w:line="560" w:lineRule="exact"/>
      </w:pPr>
      <w:bookmarkStart w:id="39" w:name="_Toc106610337"/>
      <w:bookmarkStart w:id="40" w:name="_Toc104358696"/>
      <w:r>
        <w:rPr>
          <w:rFonts w:hint="eastAsia"/>
        </w:rPr>
        <w:t>第二节</w:t>
      </w:r>
      <w:r>
        <w:t xml:space="preserve"> </w:t>
      </w:r>
      <w:r>
        <w:rPr>
          <w:rFonts w:hint="eastAsia"/>
        </w:rPr>
        <w:t>环境影响分析与评价</w:t>
      </w:r>
      <w:bookmarkEnd w:id="39"/>
      <w:bookmarkEnd w:id="40"/>
    </w:p>
    <w:p>
      <w:pPr>
        <w:pStyle w:val="5"/>
        <w:ind w:firstLine="640"/>
        <w:rPr>
          <w:szCs w:val="32"/>
        </w:rPr>
      </w:pPr>
      <w:r>
        <w:rPr>
          <w:rFonts w:hint="eastAsia"/>
          <w:szCs w:val="32"/>
        </w:rPr>
        <w:t>一、规划协调性分析</w:t>
      </w:r>
    </w:p>
    <w:p>
      <w:pPr>
        <w:spacing w:line="560" w:lineRule="exact"/>
        <w:ind w:firstLine="640"/>
        <w:contextualSpacing/>
        <w:rPr>
          <w:rFonts w:ascii="仿宋_GB2312" w:eastAsia="仿宋_GB2312"/>
          <w:sz w:val="32"/>
          <w:szCs w:val="32"/>
        </w:rPr>
      </w:pPr>
      <w:r>
        <w:rPr>
          <w:rFonts w:hint="eastAsia" w:ascii="仿宋_GB2312" w:eastAsia="仿宋_GB2312"/>
          <w:sz w:val="32"/>
          <w:szCs w:val="32"/>
        </w:rPr>
        <w:t>《规划》满足产业结构调整指导目录的相关要求，与自治区、赤峰市国民经济规划、生态环境保护规划等相符合。</w:t>
      </w:r>
    </w:p>
    <w:p>
      <w:pPr>
        <w:spacing w:line="560" w:lineRule="exact"/>
        <w:ind w:firstLine="640"/>
        <w:contextualSpacing/>
        <w:rPr>
          <w:rFonts w:ascii="仿宋_GB2312" w:eastAsia="仿宋_GB2312"/>
          <w:sz w:val="32"/>
          <w:szCs w:val="32"/>
        </w:rPr>
      </w:pPr>
      <w:r>
        <w:rPr>
          <w:rFonts w:hint="eastAsia" w:ascii="仿宋_GB2312" w:eastAsia="仿宋_GB2312"/>
          <w:sz w:val="32"/>
          <w:szCs w:val="32"/>
        </w:rPr>
        <w:t>将《规划》中拟设置的重点勘查区、重点开采区、勘查规划区块、开采规划区块、建筑用砂石土集中开采区与重点环境保护目标、生态保护红线进行叠图分析。叠图结果显示，拟设置的重点勘查区、重点勘查区、勘查规划区块、开采规划区块、建筑用砂石土集中开采区与自然保护区、森林公园、地质公园、湿地公园、草原公园、饮用水水源保护区、生态保护红线均无叠加。存在重叠处，规划编制过程中进行了优化调整。</w:t>
      </w:r>
    </w:p>
    <w:p>
      <w:pPr>
        <w:pStyle w:val="5"/>
        <w:ind w:firstLine="640"/>
        <w:rPr>
          <w:szCs w:val="32"/>
        </w:rPr>
      </w:pPr>
      <w:r>
        <w:rPr>
          <w:rFonts w:hint="eastAsia"/>
          <w:szCs w:val="32"/>
        </w:rPr>
        <w:t>二、规划实施过程影响分析</w:t>
      </w:r>
    </w:p>
    <w:p>
      <w:pPr>
        <w:pStyle w:val="13"/>
        <w:spacing w:line="560" w:lineRule="exact"/>
        <w:ind w:firstLine="640"/>
        <w:rPr>
          <w:szCs w:val="32"/>
        </w:rPr>
      </w:pPr>
      <w:r>
        <w:rPr>
          <w:rFonts w:hint="eastAsia"/>
          <w:szCs w:val="32"/>
        </w:rPr>
        <w:t>（一）生态环境影响评价</w:t>
      </w:r>
    </w:p>
    <w:p>
      <w:pPr>
        <w:spacing w:line="560" w:lineRule="exact"/>
        <w:ind w:firstLine="640"/>
        <w:contextualSpacing/>
        <w:rPr>
          <w:rFonts w:ascii="仿宋_GB2312" w:eastAsia="仿宋_GB2312"/>
          <w:sz w:val="32"/>
          <w:szCs w:val="32"/>
        </w:rPr>
      </w:pPr>
      <w:r>
        <w:rPr>
          <w:rFonts w:hint="eastAsia" w:ascii="仿宋_GB2312" w:eastAsia="仿宋_GB2312"/>
          <w:sz w:val="32"/>
          <w:szCs w:val="32"/>
        </w:rPr>
        <w:t>矿山开采可能引发的地质灾害主要有崩塌、滑坡、地面塌陷、泥石流等，可能会引发生态破坏。其中露天开采的矿山可能引发的地质灾害主要为崩塌，地下开采的矿山可能引发的地质灾害主要为地面塌陷。矿山开采需要占用土地资源、破坏地貌景观，对地貌景观及土地资源影响较严重。</w:t>
      </w:r>
    </w:p>
    <w:p>
      <w:pPr>
        <w:spacing w:line="560" w:lineRule="exact"/>
        <w:ind w:firstLine="640"/>
        <w:contextualSpacing/>
        <w:rPr>
          <w:rFonts w:ascii="仿宋_GB2312" w:eastAsia="仿宋_GB2312"/>
          <w:sz w:val="32"/>
          <w:szCs w:val="32"/>
        </w:rPr>
      </w:pPr>
      <w:r>
        <w:rPr>
          <w:rFonts w:hint="eastAsia" w:ascii="仿宋_GB2312" w:eastAsia="仿宋_GB2312"/>
          <w:sz w:val="32"/>
          <w:szCs w:val="32"/>
        </w:rPr>
        <w:t>矿山施工机械、人员活动及运输车辆等对动物的栖息生境产生扰动，对动物的栖息、繁衍将产生局部影响，可能造成动物的搬迁。矿山开采使林地或草地转变为采矿用地，减少了区域植被覆盖率。矿坑疏干会使地下水位下降，影响植物的生长。矿山开采对生态系统产生局部影响，对当地生态系统的整体结构影响较小，生态功能区稳定性基本不会发生变化。</w:t>
      </w:r>
    </w:p>
    <w:p>
      <w:pPr>
        <w:pStyle w:val="13"/>
        <w:spacing w:line="560" w:lineRule="exact"/>
        <w:ind w:firstLine="640"/>
        <w:rPr>
          <w:szCs w:val="32"/>
        </w:rPr>
      </w:pPr>
      <w:r>
        <w:rPr>
          <w:rFonts w:hint="eastAsia"/>
          <w:szCs w:val="32"/>
        </w:rPr>
        <w:t>（二）环境空气影响评价</w:t>
      </w:r>
    </w:p>
    <w:p>
      <w:pPr>
        <w:spacing w:line="560" w:lineRule="exact"/>
        <w:ind w:firstLine="640"/>
        <w:contextualSpacing/>
        <w:rPr>
          <w:rFonts w:ascii="仿宋_GB2312" w:eastAsia="仿宋_GB2312"/>
          <w:sz w:val="32"/>
          <w:szCs w:val="32"/>
        </w:rPr>
      </w:pPr>
      <w:r>
        <w:rPr>
          <w:rFonts w:hint="eastAsia" w:ascii="仿宋_GB2312" w:eastAsia="仿宋_GB2312"/>
          <w:sz w:val="32"/>
          <w:szCs w:val="32"/>
        </w:rPr>
        <w:t>环境空气主要由冬季取暖锅炉排放的锅炉烟气、采矿粉尘、选厂破碎筛分产生的粉尘以及运输扬尘等可能会对大气环境产生的影响。锅炉烟气经脱硫除尘、高烟囱排放后能达标排放，对矿区附近的环境空气影响较小。地下采矿产生粉尘位于矿井下，在加强通风和防尘的情况下，排至地表的浓度很小，对地面大气环境影响很小。露天开采矿山的矿石的粉碎加工会有一定的粉尘产生，一般影响范围相对较小。选矿时破碎、筛分工段安装集尘罩和除尘器，处理后经高烟囱等达标排放，选矿粉尘对周边大气环境影响较小。矿石、废渣运输时会产生扬尘。</w:t>
      </w:r>
    </w:p>
    <w:p>
      <w:pPr>
        <w:pStyle w:val="13"/>
        <w:spacing w:line="560" w:lineRule="exact"/>
        <w:ind w:firstLine="640"/>
        <w:rPr>
          <w:szCs w:val="32"/>
        </w:rPr>
      </w:pPr>
      <w:r>
        <w:rPr>
          <w:rFonts w:hint="eastAsia"/>
          <w:szCs w:val="32"/>
        </w:rPr>
        <w:t>（三）水环境影响评价</w:t>
      </w:r>
    </w:p>
    <w:p>
      <w:pPr>
        <w:spacing w:line="560" w:lineRule="exact"/>
        <w:ind w:firstLine="640"/>
        <w:contextualSpacing/>
        <w:rPr>
          <w:rFonts w:ascii="仿宋_GB2312" w:eastAsia="仿宋_GB2312"/>
          <w:sz w:val="32"/>
          <w:szCs w:val="32"/>
        </w:rPr>
      </w:pPr>
      <w:r>
        <w:rPr>
          <w:rFonts w:hint="eastAsia" w:ascii="仿宋_GB2312" w:eastAsia="仿宋_GB2312"/>
          <w:sz w:val="32"/>
          <w:szCs w:val="32"/>
        </w:rPr>
        <w:t>矿山生产时产生废水正常工况下不外排或经处理后达标排放，不会对矿山周边的地表水环境产生明显影响。选矿废水、生活污水渗入地下会对地下水水质产生污染。尾矿中有毒有害物质渗入地下，形成地下水污染。采取防渗措施后，不会对地下水环境造成明显影响。</w:t>
      </w:r>
    </w:p>
    <w:p>
      <w:pPr>
        <w:pStyle w:val="13"/>
        <w:spacing w:line="560" w:lineRule="exact"/>
        <w:ind w:firstLine="640"/>
        <w:rPr>
          <w:szCs w:val="32"/>
        </w:rPr>
      </w:pPr>
      <w:r>
        <w:rPr>
          <w:rFonts w:hint="eastAsia"/>
          <w:szCs w:val="32"/>
        </w:rPr>
        <w:t>（四）土壤环境影响评价</w:t>
      </w:r>
    </w:p>
    <w:p>
      <w:pPr>
        <w:spacing w:line="560" w:lineRule="exact"/>
        <w:ind w:firstLine="640"/>
        <w:contextualSpacing/>
        <w:rPr>
          <w:rFonts w:ascii="仿宋_GB2312" w:eastAsia="仿宋_GB2312"/>
          <w:sz w:val="32"/>
          <w:szCs w:val="32"/>
        </w:rPr>
      </w:pPr>
      <w:r>
        <w:rPr>
          <w:rFonts w:hint="eastAsia" w:ascii="仿宋_GB2312" w:eastAsia="仿宋_GB2312"/>
          <w:sz w:val="32"/>
          <w:szCs w:val="32"/>
        </w:rPr>
        <w:t>矿山开采需要占用土地资源，容易造成水土流失，破坏生态环境，造成土壤营养流失，污染土壤环境。</w:t>
      </w:r>
    </w:p>
    <w:p>
      <w:pPr>
        <w:pStyle w:val="13"/>
        <w:spacing w:line="560" w:lineRule="exact"/>
        <w:ind w:firstLine="640"/>
        <w:rPr>
          <w:szCs w:val="32"/>
        </w:rPr>
      </w:pPr>
      <w:r>
        <w:rPr>
          <w:rFonts w:hint="eastAsia"/>
          <w:szCs w:val="32"/>
        </w:rPr>
        <w:t>（五）固体废物环境影响评价</w:t>
      </w:r>
    </w:p>
    <w:p>
      <w:pPr>
        <w:spacing w:line="560" w:lineRule="exact"/>
        <w:ind w:firstLine="640"/>
        <w:contextualSpacing/>
        <w:rPr>
          <w:rFonts w:ascii="仿宋_GB2312" w:eastAsia="仿宋_GB2312"/>
          <w:sz w:val="32"/>
          <w:szCs w:val="32"/>
        </w:rPr>
      </w:pPr>
      <w:r>
        <w:rPr>
          <w:rFonts w:hint="eastAsia" w:ascii="仿宋_GB2312" w:eastAsia="仿宋_GB2312"/>
          <w:sz w:val="32"/>
          <w:szCs w:val="32"/>
        </w:rPr>
        <w:t>废渣堆存于废渣场，尾矿堆放于尾矿库。废渣、尾矿的堆放压占土地、植被资源，会造成一定的生态破坏。</w:t>
      </w:r>
    </w:p>
    <w:p>
      <w:pPr>
        <w:pStyle w:val="3"/>
        <w:spacing w:line="560" w:lineRule="exact"/>
      </w:pPr>
      <w:bookmarkStart w:id="41" w:name="_Toc104358697"/>
      <w:bookmarkStart w:id="42" w:name="_Toc106610338"/>
      <w:r>
        <w:rPr>
          <w:rFonts w:hint="eastAsia"/>
        </w:rPr>
        <w:t>第三节</w:t>
      </w:r>
      <w:r>
        <w:t xml:space="preserve"> </w:t>
      </w:r>
      <w:r>
        <w:rPr>
          <w:rFonts w:hint="eastAsia"/>
        </w:rPr>
        <w:t>环境影响减缓措施</w:t>
      </w:r>
      <w:bookmarkEnd w:id="41"/>
      <w:bookmarkEnd w:id="42"/>
    </w:p>
    <w:p>
      <w:pPr>
        <w:pStyle w:val="5"/>
        <w:ind w:firstLine="640"/>
        <w:rPr>
          <w:szCs w:val="32"/>
        </w:rPr>
      </w:pPr>
      <w:r>
        <w:rPr>
          <w:rFonts w:hint="eastAsia"/>
          <w:szCs w:val="32"/>
        </w:rPr>
        <w:t>一、生态环境影响减缓措施</w:t>
      </w:r>
    </w:p>
    <w:p>
      <w:pPr>
        <w:spacing w:line="560" w:lineRule="exact"/>
        <w:ind w:firstLine="640"/>
        <w:contextualSpacing/>
        <w:rPr>
          <w:rFonts w:ascii="仿宋_GB2312" w:eastAsia="仿宋_GB2312"/>
          <w:sz w:val="32"/>
          <w:szCs w:val="32"/>
        </w:rPr>
      </w:pPr>
      <w:r>
        <w:rPr>
          <w:rFonts w:hint="eastAsia" w:ascii="仿宋_GB2312" w:eastAsia="仿宋_GB2312"/>
          <w:sz w:val="32"/>
          <w:szCs w:val="32"/>
        </w:rPr>
        <w:t>涉及到生态敏感区的，严格按照国家及自治区等法律法规的相关要求执行。</w:t>
      </w:r>
    </w:p>
    <w:p>
      <w:pPr>
        <w:spacing w:line="560" w:lineRule="exact"/>
        <w:ind w:firstLine="640"/>
        <w:contextualSpacing/>
        <w:rPr>
          <w:rFonts w:ascii="仿宋_GB2312" w:eastAsia="仿宋_GB2312"/>
          <w:sz w:val="32"/>
          <w:szCs w:val="32"/>
        </w:rPr>
      </w:pPr>
      <w:r>
        <w:rPr>
          <w:rFonts w:hint="eastAsia" w:ascii="仿宋_GB2312" w:eastAsia="仿宋_GB2312"/>
          <w:sz w:val="32"/>
          <w:szCs w:val="32"/>
        </w:rPr>
        <w:t>矿山对可以恢复的破坏面及时治理恢复，实行采矿→选矿→生态恢复一体化的矿产资源开发模式，边生产边治理。鼓励企业利用先进的采矿技术和开采方式，减小对生态环境的影响。露天开采的矿山宜推广剥离→排土→造地→复垦一体化技术，建议采用台阶式开采方式，防止形成高陡边坡。地下开采的矿山宜推广充填采矿工艺技术，利用废渣充填采空区。按照“边生产，边治理，应治尽治”的原则，落实矿山地质环境治理责任，因地制宜采取综合防治措施，同时加强矿山环境监测，建立健全监测系统。矿山闭坑后，要全面对废弃采场、废渣堆、废弃工业场地、地面塌陷、地裂缝等采取消除地质灾害隐患、地貌重塑、土壤重构、植被重现、生态重建的方式进行生态修复，改善矿区生态环境。注意对珍稀濒危动植物的避让和保护。</w:t>
      </w:r>
    </w:p>
    <w:p>
      <w:pPr>
        <w:pStyle w:val="5"/>
        <w:ind w:firstLine="640"/>
        <w:rPr>
          <w:szCs w:val="32"/>
        </w:rPr>
      </w:pPr>
      <w:r>
        <w:rPr>
          <w:rFonts w:hint="eastAsia"/>
          <w:szCs w:val="32"/>
        </w:rPr>
        <w:t>二、环境空气影响减缓</w:t>
      </w:r>
      <w:r>
        <w:rPr>
          <w:rStyle w:val="17"/>
          <w:rFonts w:hint="eastAsia" w:ascii="仿宋_GB2312" w:hAnsi="Times New Roman" w:eastAsia="仿宋_GB2312"/>
          <w:color w:val="auto"/>
        </w:rPr>
        <w:t>措施</w:t>
      </w:r>
    </w:p>
    <w:p>
      <w:pPr>
        <w:spacing w:line="560" w:lineRule="exact"/>
        <w:ind w:firstLine="640"/>
        <w:contextualSpacing/>
        <w:rPr>
          <w:rFonts w:ascii="仿宋_GB2312" w:eastAsia="仿宋_GB2312"/>
          <w:sz w:val="32"/>
          <w:szCs w:val="32"/>
        </w:rPr>
      </w:pPr>
      <w:r>
        <w:rPr>
          <w:rFonts w:hint="eastAsia" w:ascii="仿宋_GB2312" w:eastAsia="仿宋_GB2312"/>
          <w:sz w:val="32"/>
          <w:szCs w:val="32"/>
        </w:rPr>
        <w:t>采取湿式凿岩、深孔爆破、开采面喷雾洒水等措施有效减少粉尘污染。破碎机及振动筛配备集尘罩、布袋除尘器，收集的粉尘全部排至原料仓，回收利用。选厂车间内对各产尘环节定时洒水抑尘。对成品堆、废渣堆进行洒水抑尘。</w:t>
      </w:r>
    </w:p>
    <w:p>
      <w:pPr>
        <w:pStyle w:val="5"/>
        <w:ind w:firstLine="640"/>
        <w:rPr>
          <w:szCs w:val="32"/>
        </w:rPr>
      </w:pPr>
      <w:r>
        <w:rPr>
          <w:rFonts w:hint="eastAsia"/>
          <w:szCs w:val="32"/>
        </w:rPr>
        <w:t>三、水环境影响减缓措施</w:t>
      </w:r>
    </w:p>
    <w:p>
      <w:pPr>
        <w:spacing w:line="560" w:lineRule="exact"/>
        <w:ind w:firstLine="640"/>
        <w:contextualSpacing/>
        <w:rPr>
          <w:rFonts w:ascii="仿宋_GB2312" w:eastAsia="仿宋_GB2312"/>
          <w:sz w:val="32"/>
          <w:szCs w:val="32"/>
        </w:rPr>
      </w:pPr>
      <w:r>
        <w:rPr>
          <w:rFonts w:hint="eastAsia" w:ascii="仿宋_GB2312" w:hAnsi="Times New Roman" w:eastAsia="仿宋_GB2312"/>
          <w:sz w:val="32"/>
          <w:szCs w:val="32"/>
        </w:rPr>
        <w:t>将</w:t>
      </w:r>
      <w:r>
        <w:rPr>
          <w:rFonts w:hint="eastAsia" w:ascii="仿宋_GB2312" w:eastAsia="仿宋_GB2312"/>
          <w:sz w:val="32"/>
          <w:szCs w:val="32"/>
        </w:rPr>
        <w:t>矿井疏干水优先利用于生产用水，也可以作为辅助水源用于绿化灌溉等，或用于选矿用水，不得外排。选矿废水全部回用于选矿，不得外排。在尾矿库下游设置水质监测井，定期对监测井及周边地下水进行水质监测。采用完善的防渗、集排水措施，防止淋滤水污染附近水源。生活污水经处理后用于绿化灌溉，不外排。</w:t>
      </w:r>
    </w:p>
    <w:p>
      <w:pPr>
        <w:pStyle w:val="5"/>
        <w:ind w:firstLine="640"/>
        <w:rPr>
          <w:szCs w:val="32"/>
        </w:rPr>
      </w:pPr>
      <w:r>
        <w:rPr>
          <w:rFonts w:hint="eastAsia"/>
          <w:szCs w:val="32"/>
        </w:rPr>
        <w:t>四、土壤环境影响减缓措施</w:t>
      </w:r>
    </w:p>
    <w:p>
      <w:pPr>
        <w:spacing w:line="560" w:lineRule="exact"/>
        <w:ind w:firstLine="640"/>
        <w:contextualSpacing/>
        <w:rPr>
          <w:rFonts w:ascii="仿宋_GB2312" w:eastAsia="仿宋_GB2312"/>
          <w:sz w:val="32"/>
          <w:szCs w:val="32"/>
        </w:rPr>
      </w:pPr>
      <w:r>
        <w:rPr>
          <w:rFonts w:hint="eastAsia" w:ascii="仿宋_GB2312" w:eastAsia="仿宋_GB2312"/>
          <w:sz w:val="32"/>
          <w:szCs w:val="32"/>
        </w:rPr>
        <w:t>要严防矿产资源开发污染土壤，严控施工及开采范围，及时硬化场地，完善尾矿库覆膜、压土、排洪、堤坝加固等治理措施，加强固废处置，因地制宜采取土地复垦措施。</w:t>
      </w:r>
    </w:p>
    <w:p>
      <w:pPr>
        <w:pStyle w:val="4"/>
        <w:spacing w:before="0" w:after="0" w:line="560" w:lineRule="exact"/>
        <w:ind w:firstLine="640" w:firstLineChars="200"/>
        <w:contextualSpacing/>
        <w:rPr>
          <w:rFonts w:ascii="黑体" w:hAnsi="黑体" w:eastAsia="黑体"/>
          <w:b w:val="0"/>
          <w:color w:val="auto"/>
        </w:rPr>
      </w:pPr>
      <w:r>
        <w:rPr>
          <w:rFonts w:hint="eastAsia" w:ascii="黑体" w:hAnsi="黑体" w:eastAsia="黑体"/>
          <w:b w:val="0"/>
          <w:color w:val="auto"/>
        </w:rPr>
        <w:t>五、固体废物环境影响减缓措施</w:t>
      </w:r>
    </w:p>
    <w:p>
      <w:pPr>
        <w:spacing w:line="560" w:lineRule="exact"/>
        <w:ind w:firstLine="640"/>
        <w:contextualSpacing/>
        <w:rPr>
          <w:rFonts w:ascii="仿宋_GB2312" w:eastAsia="仿宋_GB2312"/>
          <w:sz w:val="32"/>
          <w:szCs w:val="32"/>
        </w:rPr>
      </w:pPr>
      <w:r>
        <w:rPr>
          <w:rFonts w:hint="eastAsia" w:ascii="仿宋_GB2312" w:eastAsia="仿宋_GB2312"/>
          <w:sz w:val="32"/>
          <w:szCs w:val="32"/>
        </w:rPr>
        <w:t>切实从源头削减废渣、尾矿等的产生量。废渣场严格按开发利用方案进行选址、设计、施工挡渣墙，严格按标准要求对尾矿库进行防渗设计、施工，规范运行管理，并采取有效措施防止二次环境污染。废渣集中存放于废渣场，尾矿集中堆放于尾矿库。鼓励矿山对废渣、尾矿的再利用。</w:t>
      </w:r>
    </w:p>
    <w:p>
      <w:pPr>
        <w:pStyle w:val="3"/>
        <w:spacing w:line="560" w:lineRule="exact"/>
      </w:pPr>
      <w:bookmarkStart w:id="43" w:name="_Toc104358698"/>
      <w:bookmarkStart w:id="44" w:name="_Toc106610339"/>
      <w:r>
        <w:rPr>
          <w:rFonts w:hint="eastAsia"/>
        </w:rPr>
        <w:t>第四节</w:t>
      </w:r>
      <w:r>
        <w:t xml:space="preserve"> </w:t>
      </w:r>
      <w:r>
        <w:rPr>
          <w:rFonts w:hint="eastAsia"/>
        </w:rPr>
        <w:t>规划的跟踪评价</w:t>
      </w:r>
      <w:bookmarkEnd w:id="43"/>
      <w:bookmarkEnd w:id="44"/>
    </w:p>
    <w:p>
      <w:pPr>
        <w:spacing w:line="560" w:lineRule="exact"/>
        <w:ind w:firstLine="640"/>
        <w:contextualSpacing/>
        <w:rPr>
          <w:rFonts w:ascii="仿宋_GB2312" w:eastAsia="仿宋_GB2312"/>
          <w:sz w:val="32"/>
          <w:szCs w:val="32"/>
        </w:rPr>
      </w:pPr>
      <w:r>
        <w:rPr>
          <w:rFonts w:hint="eastAsia" w:ascii="仿宋_GB2312" w:eastAsia="仿宋_GB2312"/>
          <w:sz w:val="32"/>
          <w:szCs w:val="32"/>
        </w:rPr>
        <w:t>规划项目在勘查开采的过程中要进行全程监测，针对开采过程中存在的环境问题要提出整改措施。对于环境保护目标，要进行跟踪监测与检查。对于矿山企业的排污状况，要定期监测，以保证达标排放。定期检查企业的环保设施运营情况，若出现环保设施投入不到位或有设施不使用的情形，应限期整顿或酌情处罚。</w:t>
      </w:r>
    </w:p>
    <w:p>
      <w:pPr>
        <w:pStyle w:val="3"/>
        <w:spacing w:line="560" w:lineRule="exact"/>
      </w:pPr>
      <w:bookmarkStart w:id="45" w:name="_Toc104358699"/>
      <w:bookmarkStart w:id="46" w:name="_Toc106610340"/>
      <w:r>
        <w:rPr>
          <w:rFonts w:hint="eastAsia"/>
        </w:rPr>
        <w:t>第五节</w:t>
      </w:r>
      <w:r>
        <w:t xml:space="preserve"> </w:t>
      </w:r>
      <w:r>
        <w:rPr>
          <w:rFonts w:hint="eastAsia"/>
        </w:rPr>
        <w:t>评价结论</w:t>
      </w:r>
      <w:bookmarkEnd w:id="45"/>
      <w:bookmarkEnd w:id="46"/>
    </w:p>
    <w:p>
      <w:pPr>
        <w:spacing w:line="560" w:lineRule="exact"/>
        <w:ind w:firstLine="640"/>
        <w:contextualSpacing/>
        <w:rPr>
          <w:rFonts w:ascii="仿宋_GB2312" w:eastAsia="仿宋_GB2312"/>
          <w:sz w:val="32"/>
          <w:szCs w:val="32"/>
        </w:rPr>
      </w:pPr>
      <w:r>
        <w:rPr>
          <w:rFonts w:hint="eastAsia" w:ascii="仿宋_GB2312" w:eastAsia="仿宋_GB2312"/>
          <w:sz w:val="32"/>
          <w:szCs w:val="32"/>
        </w:rPr>
        <w:t>总体上，《规划》与相关产业发展、生态环境保护规划政策相符，通过采取环境影响减缓对策措施，产生的不利环境影响可以接受，从环境影响角度分析，《规划》是可行的。</w:t>
      </w:r>
    </w:p>
    <w:p>
      <w:pPr>
        <w:spacing w:line="560" w:lineRule="exact"/>
        <w:ind w:firstLine="640"/>
        <w:contextualSpacing/>
        <w:rPr>
          <w:rFonts w:ascii="仿宋_GB2312" w:eastAsia="仿宋_GB2312"/>
        </w:rPr>
      </w:pPr>
    </w:p>
    <w:p>
      <w:bookmarkStart w:id="47" w:name="_GoBack"/>
      <w:bookmarkEnd w:id="4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p>
  <w:p>
    <w:pPr>
      <w:pStyle w:val="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5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mM2JhMTE1Y2JkNWYwZjVhY2ZjMGI2MjdhZmRkZDIifQ=="/>
  </w:docVars>
  <w:rsids>
    <w:rsidRoot w:val="00000000"/>
    <w:rsid w:val="629C64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iPriority="39" w:semiHidden="0" w:name="toc 1"/>
    <w:lsdException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line="560" w:lineRule="exact"/>
      <w:jc w:val="center"/>
      <w:outlineLvl w:val="0"/>
    </w:pPr>
    <w:rPr>
      <w:rFonts w:ascii="Calibri" w:hAnsi="Calibri" w:eastAsia="黑体" w:cs="Times New Roman"/>
      <w:kern w:val="44"/>
      <w:sz w:val="32"/>
      <w:szCs w:val="44"/>
      <w:u w:val="none" w:color="000000"/>
    </w:rPr>
  </w:style>
  <w:style w:type="paragraph" w:styleId="3">
    <w:name w:val="heading 2"/>
    <w:basedOn w:val="1"/>
    <w:next w:val="1"/>
    <w:link w:val="16"/>
    <w:unhideWhenUsed/>
    <w:qFormat/>
    <w:uiPriority w:val="0"/>
    <w:pPr>
      <w:keepNext/>
      <w:keepLines/>
      <w:spacing w:before="260" w:after="260" w:line="415" w:lineRule="auto"/>
      <w:jc w:val="center"/>
      <w:outlineLvl w:val="1"/>
    </w:pPr>
    <w:rPr>
      <w:rFonts w:ascii="Cambria" w:hAnsi="Cambria" w:eastAsia="楷体_GB2312"/>
      <w:color w:val="000000"/>
      <w:sz w:val="32"/>
      <w:szCs w:val="32"/>
      <w:u w:val="none" w:color="000000"/>
    </w:rPr>
  </w:style>
  <w:style w:type="paragraph" w:styleId="4">
    <w:name w:val="heading 3"/>
    <w:basedOn w:val="1"/>
    <w:next w:val="1"/>
    <w:link w:val="17"/>
    <w:unhideWhenUsed/>
    <w:qFormat/>
    <w:uiPriority w:val="0"/>
    <w:pPr>
      <w:keepNext/>
      <w:keepLines/>
      <w:spacing w:before="260" w:after="260" w:line="415" w:lineRule="auto"/>
      <w:jc w:val="left"/>
      <w:outlineLvl w:val="2"/>
    </w:pPr>
    <w:rPr>
      <w:rFonts w:ascii="宋体" w:hAnsi="宋体" w:eastAsia="仿宋"/>
      <w:b/>
      <w:color w:val="000000"/>
      <w:sz w:val="32"/>
      <w:szCs w:val="32"/>
      <w:u w:val="none" w:color="000000"/>
    </w:rPr>
  </w:style>
  <w:style w:type="paragraph" w:styleId="5">
    <w:name w:val="heading 4"/>
    <w:basedOn w:val="1"/>
    <w:next w:val="1"/>
    <w:unhideWhenUsed/>
    <w:qFormat/>
    <w:uiPriority w:val="0"/>
    <w:pPr>
      <w:keepNext/>
      <w:keepLines/>
      <w:spacing w:line="560" w:lineRule="exact"/>
      <w:ind w:firstLine="200" w:firstLineChars="200"/>
      <w:outlineLvl w:val="3"/>
    </w:pPr>
    <w:rPr>
      <w:rFonts w:ascii="Calibri Light" w:hAnsi="Calibri Light" w:eastAsia="黑体" w:cs="Times New Roman"/>
      <w:bCs/>
      <w:color w:val="000000"/>
      <w:sz w:val="32"/>
      <w:szCs w:val="28"/>
      <w:u w:val="none" w:color="000000"/>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unhideWhenUsed/>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uiPriority w:val="39"/>
    <w:pPr>
      <w:spacing w:before="120" w:after="120"/>
      <w:ind w:firstLine="200" w:firstLineChars="200"/>
      <w:jc w:val="left"/>
    </w:pPr>
    <w:rPr>
      <w:rFonts w:ascii="Calibri" w:hAnsi="Calibri" w:eastAsia="仿宋" w:cs="仿宋"/>
      <w:b/>
      <w:bCs/>
      <w:caps/>
      <w:color w:val="000000"/>
      <w:sz w:val="20"/>
      <w:szCs w:val="20"/>
      <w:u w:val="none" w:color="000000"/>
    </w:rPr>
  </w:style>
  <w:style w:type="paragraph" w:styleId="9">
    <w:name w:val="toc 2"/>
    <w:basedOn w:val="1"/>
    <w:next w:val="1"/>
    <w:unhideWhenUsed/>
    <w:uiPriority w:val="39"/>
    <w:pPr>
      <w:ind w:left="280" w:firstLine="200" w:firstLineChars="200"/>
      <w:jc w:val="left"/>
    </w:pPr>
    <w:rPr>
      <w:rFonts w:ascii="Calibri" w:hAnsi="Calibri" w:eastAsia="仿宋" w:cs="仿宋"/>
      <w:smallCaps/>
      <w:color w:val="000000"/>
      <w:sz w:val="20"/>
      <w:szCs w:val="20"/>
      <w:u w:val="none" w:color="000000"/>
    </w:rPr>
  </w:style>
  <w:style w:type="character" w:styleId="12">
    <w:name w:val="Hyperlink"/>
    <w:unhideWhenUsed/>
    <w:uiPriority w:val="99"/>
    <w:rPr>
      <w:color w:val="0563C1"/>
      <w:u w:val="single"/>
    </w:rPr>
  </w:style>
  <w:style w:type="paragraph" w:customStyle="1" w:styleId="13">
    <w:name w:val="标题用"/>
    <w:basedOn w:val="1"/>
    <w:qFormat/>
    <w:uiPriority w:val="0"/>
    <w:pPr>
      <w:ind w:firstLine="200" w:firstLineChars="200"/>
      <w:jc w:val="left"/>
    </w:pPr>
    <w:rPr>
      <w:rFonts w:ascii="仿宋" w:hAnsi="仿宋" w:eastAsia="楷体_GB2312" w:cs="仿宋"/>
      <w:color w:val="000000"/>
      <w:sz w:val="32"/>
      <w:szCs w:val="21"/>
      <w:u w:val="none" w:color="000000"/>
    </w:rPr>
  </w:style>
  <w:style w:type="paragraph" w:styleId="14">
    <w:name w:val="No Spacing"/>
    <w:qFormat/>
    <w:uiPriority w:val="0"/>
    <w:pPr>
      <w:widowControl w:val="0"/>
      <w:jc w:val="center"/>
    </w:pPr>
    <w:rPr>
      <w:rFonts w:ascii="仿宋" w:hAnsi="仿宋" w:eastAsia="仿宋" w:cs="Times New Roman"/>
      <w:kern w:val="2"/>
      <w:sz w:val="28"/>
      <w:szCs w:val="22"/>
      <w:u w:val="none" w:color="000000"/>
      <w:lang w:val="en-US" w:eastAsia="zh-CN" w:bidi="ar-SA"/>
    </w:rPr>
  </w:style>
  <w:style w:type="paragraph" w:customStyle="1" w:styleId="15">
    <w:name w:val="无间隔1"/>
    <w:qFormat/>
    <w:uiPriority w:val="0"/>
    <w:pPr>
      <w:widowControl w:val="0"/>
      <w:jc w:val="center"/>
    </w:pPr>
    <w:rPr>
      <w:rFonts w:ascii="仿宋" w:hAnsi="仿宋" w:eastAsia="仿宋" w:cs="Times New Roman"/>
      <w:kern w:val="2"/>
      <w:sz w:val="28"/>
      <w:szCs w:val="22"/>
      <w:u w:val="none" w:color="000000"/>
      <w:lang w:val="en-US" w:eastAsia="zh-CN" w:bidi="ar-SA"/>
    </w:rPr>
  </w:style>
  <w:style w:type="character" w:customStyle="1" w:styleId="16">
    <w:name w:val="标题 2 Char"/>
    <w:link w:val="3"/>
    <w:qFormat/>
    <w:uiPriority w:val="0"/>
    <w:rPr>
      <w:rFonts w:ascii="Cambria" w:hAnsi="Cambria" w:eastAsia="楷体_GB2312"/>
      <w:color w:val="000000"/>
      <w:sz w:val="32"/>
      <w:szCs w:val="32"/>
      <w:u w:val="none" w:color="000000"/>
    </w:rPr>
  </w:style>
  <w:style w:type="character" w:customStyle="1" w:styleId="17">
    <w:name w:val="标题 3 Char"/>
    <w:link w:val="4"/>
    <w:qFormat/>
    <w:uiPriority w:val="0"/>
    <w:rPr>
      <w:rFonts w:ascii="宋体" w:hAnsi="宋体" w:eastAsia="仿宋"/>
      <w:b/>
      <w:color w:val="000000"/>
      <w:sz w:val="32"/>
      <w:szCs w:val="32"/>
      <w:u w:val="none" w:color="00000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2022-08-11T00:56:44Z</dcterms:created>
  <dc:creator>admin</dc:creator>
  <cp:lastModifiedBy>admin</cp:lastModifiedBy>
  <dcterms:modified xsi:type="dcterms:W3CDTF">2022-08-11T00:58:13Z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43F1A74EC0984D598CC9ACB250AB5334</vt:lpwstr>
  </property>
</Properties>
</file>