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rPr>
          <w:rFonts w:hint="eastAsia" w:ascii="黑体" w:hAnsi="黑体" w:eastAsia="黑体" w:cs="仿宋"/>
          <w:color w:val="000000"/>
          <w:kern w:val="0"/>
          <w:sz w:val="32"/>
          <w:szCs w:val="32"/>
          <w:lang w:bidi="ar"/>
        </w:rPr>
      </w:pPr>
      <w:r>
        <w:rPr>
          <w:rFonts w:hint="eastAsia" w:ascii="黑体" w:hAnsi="黑体" w:eastAsia="黑体" w:cs="仿宋"/>
          <w:color w:val="000000"/>
          <w:kern w:val="0"/>
          <w:sz w:val="32"/>
          <w:szCs w:val="32"/>
          <w:lang w:bidi="ar"/>
        </w:rPr>
        <w:t>附件2</w:t>
      </w:r>
    </w:p>
    <w:p>
      <w:pPr>
        <w:pStyle w:val="5"/>
        <w:spacing w:line="560" w:lineRule="exact"/>
        <w:jc w:val="center"/>
        <w:rPr>
          <w:rFonts w:ascii="黑体" w:hAnsi="黑体" w:eastAsia="黑体" w:cs="黑体"/>
          <w:color w:val="000000"/>
          <w:kern w:val="0"/>
          <w:sz w:val="36"/>
          <w:szCs w:val="36"/>
          <w:lang w:bidi="ar"/>
        </w:rPr>
      </w:pPr>
    </w:p>
    <w:p>
      <w:pPr>
        <w:pStyle w:val="5"/>
        <w:spacing w:line="560" w:lineRule="exact"/>
        <w:jc w:val="center"/>
        <w:rPr>
          <w:rFonts w:ascii="方正小标宋简体" w:hAnsi="黑体" w:eastAsia="方正小标宋简体" w:cs="黑体"/>
          <w:color w:val="000000"/>
          <w:kern w:val="0"/>
          <w:sz w:val="44"/>
          <w:szCs w:val="44"/>
          <w:lang w:bidi="ar"/>
        </w:rPr>
      </w:pPr>
      <w:r>
        <w:rPr>
          <w:rFonts w:hint="eastAsia" w:ascii="方正小标宋简体" w:hAnsi="黑体" w:eastAsia="方正小标宋简体" w:cs="黑体"/>
          <w:color w:val="000000"/>
          <w:kern w:val="0"/>
          <w:sz w:val="44"/>
          <w:szCs w:val="44"/>
          <w:lang w:bidi="ar"/>
        </w:rPr>
        <w:t>赤峰市工业园区考核评价计分方法及</w:t>
      </w:r>
    </w:p>
    <w:p>
      <w:pPr>
        <w:pStyle w:val="5"/>
        <w:spacing w:line="560" w:lineRule="exact"/>
        <w:jc w:val="center"/>
        <w:rPr>
          <w:rFonts w:hint="eastAsia" w:ascii="方正小标宋简体" w:hAnsi="黑体" w:eastAsia="方正小标宋简体" w:cs="黑体"/>
          <w:color w:val="000000"/>
          <w:kern w:val="0"/>
          <w:sz w:val="44"/>
          <w:szCs w:val="44"/>
          <w:lang w:bidi="ar"/>
        </w:rPr>
      </w:pPr>
      <w:r>
        <w:rPr>
          <w:rFonts w:hint="eastAsia" w:ascii="方正小标宋简体" w:hAnsi="黑体" w:eastAsia="方正小标宋简体" w:cs="黑体"/>
          <w:color w:val="000000"/>
          <w:kern w:val="0"/>
          <w:sz w:val="44"/>
          <w:szCs w:val="44"/>
          <w:lang w:bidi="ar"/>
        </w:rPr>
        <w:t>指标说明</w:t>
      </w:r>
    </w:p>
    <w:p>
      <w:pPr>
        <w:pStyle w:val="2"/>
        <w:spacing w:line="560" w:lineRule="exact"/>
        <w:rPr>
          <w:rFonts w:hint="eastAsia" w:ascii="黑体" w:hAnsi="黑体" w:eastAsia="黑体" w:cs="黑体"/>
          <w:color w:val="000000"/>
          <w:szCs w:val="32"/>
        </w:rPr>
      </w:pPr>
    </w:p>
    <w:p>
      <w:pPr>
        <w:pStyle w:val="2"/>
        <w:numPr>
          <w:ilvl w:val="0"/>
          <w:numId w:val="1"/>
        </w:numPr>
        <w:spacing w:line="560" w:lineRule="exact"/>
        <w:rPr>
          <w:rFonts w:hint="eastAsia" w:ascii="黑体" w:hAnsi="黑体" w:eastAsia="黑体" w:cs="黑体"/>
          <w:color w:val="000000"/>
          <w:szCs w:val="32"/>
        </w:rPr>
      </w:pPr>
      <w:r>
        <w:rPr>
          <w:rFonts w:hint="eastAsia" w:ascii="黑体" w:hAnsi="黑体" w:eastAsia="黑体" w:cs="黑体"/>
          <w:color w:val="000000"/>
          <w:szCs w:val="32"/>
        </w:rPr>
        <w:t>考核评价计分</w:t>
      </w:r>
      <w:r>
        <w:rPr>
          <w:rFonts w:ascii="黑体" w:hAnsi="黑体" w:eastAsia="黑体" w:cs="黑体"/>
          <w:color w:val="000000"/>
          <w:szCs w:val="32"/>
        </w:rPr>
        <w:t>方</w:t>
      </w:r>
      <w:r>
        <w:rPr>
          <w:rFonts w:hint="eastAsia" w:ascii="黑体" w:hAnsi="黑体" w:eastAsia="黑体" w:cs="黑体"/>
          <w:color w:val="000000"/>
          <w:szCs w:val="32"/>
        </w:rPr>
        <w:t>法</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计分采用百分制。一级评价指标总分值设置为100；二级指标按权重设置相应分值，同一一级指标下的二级指标分值之和为100；二级指标的加分、减分项单独赋分。</w:t>
      </w:r>
    </w:p>
    <w:tbl>
      <w:tblPr>
        <w:tblStyle w:val="3"/>
        <w:tblW w:w="0" w:type="auto"/>
        <w:jc w:val="center"/>
        <w:tblLayout w:type="fixed"/>
        <w:tblCellMar>
          <w:top w:w="0" w:type="dxa"/>
          <w:left w:w="108" w:type="dxa"/>
          <w:bottom w:w="0" w:type="dxa"/>
          <w:right w:w="108" w:type="dxa"/>
        </w:tblCellMar>
      </w:tblPr>
      <w:tblGrid>
        <w:gridCol w:w="871"/>
        <w:gridCol w:w="900"/>
        <w:gridCol w:w="3587"/>
        <w:gridCol w:w="1050"/>
        <w:gridCol w:w="737"/>
        <w:gridCol w:w="1320"/>
      </w:tblGrid>
      <w:tr>
        <w:tblPrEx>
          <w:tblCellMar>
            <w:top w:w="0" w:type="dxa"/>
            <w:left w:w="108" w:type="dxa"/>
            <w:bottom w:w="0" w:type="dxa"/>
            <w:right w:w="108" w:type="dxa"/>
          </w:tblCellMar>
        </w:tblPrEx>
        <w:trPr>
          <w:trHeight w:val="736"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tLeast"/>
              <w:jc w:val="center"/>
              <w:textAlignment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一级指标</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tLeast"/>
              <w:jc w:val="center"/>
              <w:textAlignment w:val="center"/>
              <w:rPr>
                <w:rFonts w:hint="eastAsia" w:ascii="方正黑体_GBK" w:hAnsi="方正黑体_GBK" w:eastAsia="方正黑体_GBK" w:cs="方正黑体_GBK"/>
                <w:color w:val="000000"/>
                <w:kern w:val="0"/>
                <w:sz w:val="24"/>
                <w:szCs w:val="24"/>
                <w:lang w:bidi="ar"/>
              </w:rPr>
            </w:pPr>
            <w:r>
              <w:rPr>
                <w:rFonts w:hint="eastAsia" w:ascii="方正黑体_GBK" w:hAnsi="方正黑体_GBK" w:eastAsia="方正黑体_GBK" w:cs="方正黑体_GBK"/>
                <w:color w:val="000000"/>
                <w:kern w:val="0"/>
                <w:sz w:val="24"/>
                <w:szCs w:val="24"/>
                <w:lang w:bidi="ar"/>
              </w:rPr>
              <w:t>分值</w:t>
            </w:r>
          </w:p>
        </w:tc>
        <w:tc>
          <w:tcPr>
            <w:tcW w:w="358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tLeast"/>
              <w:jc w:val="center"/>
              <w:textAlignment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二级指标</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tLeast"/>
              <w:jc w:val="center"/>
              <w:textAlignment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单位</w:t>
            </w: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tLeast"/>
              <w:jc w:val="center"/>
              <w:textAlignment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分值</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tLeast"/>
              <w:jc w:val="center"/>
              <w:textAlignment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责任单位</w:t>
            </w:r>
          </w:p>
        </w:tc>
      </w:tr>
      <w:tr>
        <w:tblPrEx>
          <w:tblCellMar>
            <w:top w:w="0" w:type="dxa"/>
            <w:left w:w="108" w:type="dxa"/>
            <w:bottom w:w="0" w:type="dxa"/>
            <w:right w:w="108" w:type="dxa"/>
          </w:tblCellMar>
        </w:tblPrEx>
        <w:trPr>
          <w:trHeight w:val="369" w:hRule="atLeast"/>
          <w:jc w:val="center"/>
        </w:trPr>
        <w:tc>
          <w:tcPr>
            <w:tcW w:w="871" w:type="dxa"/>
            <w:vMerge w:val="restart"/>
            <w:tcBorders>
              <w:top w:val="single" w:color="auto" w:sz="4" w:space="0"/>
              <w:left w:val="single" w:color="000000" w:sz="4" w:space="0"/>
              <w:right w:val="single" w:color="000000" w:sz="4" w:space="0"/>
            </w:tcBorders>
            <w:noWrap w:val="0"/>
            <w:vAlign w:val="center"/>
          </w:tcPr>
          <w:p>
            <w:pPr>
              <w:tabs>
                <w:tab w:val="left" w:pos="415"/>
              </w:tabs>
              <w:jc w:val="center"/>
              <w:rPr>
                <w:rFonts w:hint="eastAsia" w:ascii="宋体" w:hAnsi="宋体" w:cs="宋体"/>
                <w:color w:val="000000"/>
                <w:szCs w:val="21"/>
              </w:rPr>
            </w:pPr>
            <w:r>
              <w:rPr>
                <w:rFonts w:hint="eastAsia" w:ascii="宋体" w:hAnsi="宋体" w:cs="宋体"/>
                <w:color w:val="000000"/>
                <w:szCs w:val="21"/>
              </w:rPr>
              <w:t>A1</w:t>
            </w:r>
          </w:p>
        </w:tc>
        <w:tc>
          <w:tcPr>
            <w:tcW w:w="900" w:type="dxa"/>
            <w:vMerge w:val="restar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65</w:t>
            </w:r>
          </w:p>
        </w:tc>
        <w:tc>
          <w:tcPr>
            <w:tcW w:w="3587" w:type="dxa"/>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A11</w:t>
            </w:r>
          </w:p>
        </w:tc>
        <w:tc>
          <w:tcPr>
            <w:tcW w:w="1050" w:type="dxa"/>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s="宋体"/>
                <w:color w:val="000000"/>
                <w:szCs w:val="21"/>
              </w:rPr>
            </w:pPr>
            <w:r>
              <w:rPr>
                <w:rFonts w:hint="eastAsia" w:ascii="宋体" w:hAnsi="宋体" w:cs="宋体"/>
                <w:color w:val="000000"/>
                <w:szCs w:val="21"/>
              </w:rPr>
              <w:t>P11</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r>
      <w:tr>
        <w:tblPrEx>
          <w:tblCellMar>
            <w:top w:w="0" w:type="dxa"/>
            <w:left w:w="108" w:type="dxa"/>
            <w:bottom w:w="0" w:type="dxa"/>
            <w:right w:w="108" w:type="dxa"/>
          </w:tblCellMar>
        </w:tblPrEx>
        <w:trPr>
          <w:trHeight w:val="369" w:hRule="atLeast"/>
          <w:jc w:val="center"/>
        </w:trPr>
        <w:tc>
          <w:tcPr>
            <w:tcW w:w="871" w:type="dxa"/>
            <w:vMerge w:val="continue"/>
            <w:tcBorders>
              <w:left w:val="single" w:color="000000" w:sz="4" w:space="0"/>
              <w:right w:val="single" w:color="000000" w:sz="4" w:space="0"/>
            </w:tcBorders>
            <w:noWrap w:val="0"/>
            <w:vAlign w:val="center"/>
          </w:tcPr>
          <w:p>
            <w:pPr>
              <w:tabs>
                <w:tab w:val="left" w:pos="415"/>
              </w:tabs>
              <w:jc w:val="center"/>
              <w:rPr>
                <w:rFonts w:hint="eastAsia" w:ascii="宋体" w:hAnsi="宋体" w:cs="宋体"/>
                <w:color w:val="000000"/>
                <w:szCs w:val="21"/>
              </w:rPr>
            </w:pPr>
          </w:p>
        </w:tc>
        <w:tc>
          <w:tcPr>
            <w:tcW w:w="900"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3587" w:type="dxa"/>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A12</w:t>
            </w:r>
          </w:p>
        </w:tc>
        <w:tc>
          <w:tcPr>
            <w:tcW w:w="1050"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P12</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r>
      <w:tr>
        <w:tblPrEx>
          <w:tblCellMar>
            <w:top w:w="0" w:type="dxa"/>
            <w:left w:w="108" w:type="dxa"/>
            <w:bottom w:w="0" w:type="dxa"/>
            <w:right w:w="108" w:type="dxa"/>
          </w:tblCellMar>
        </w:tblPrEx>
        <w:trPr>
          <w:trHeight w:val="369" w:hRule="atLeast"/>
          <w:jc w:val="center"/>
        </w:trPr>
        <w:tc>
          <w:tcPr>
            <w:tcW w:w="871" w:type="dxa"/>
            <w:vMerge w:val="continue"/>
            <w:tcBorders>
              <w:left w:val="single" w:color="000000" w:sz="4" w:space="0"/>
              <w:right w:val="single" w:color="000000" w:sz="4" w:space="0"/>
            </w:tcBorders>
            <w:noWrap w:val="0"/>
            <w:vAlign w:val="center"/>
          </w:tcPr>
          <w:p>
            <w:pPr>
              <w:tabs>
                <w:tab w:val="left" w:pos="415"/>
              </w:tabs>
              <w:jc w:val="center"/>
              <w:rPr>
                <w:rFonts w:hint="eastAsia" w:ascii="宋体" w:hAnsi="宋体" w:cs="宋体"/>
                <w:color w:val="000000"/>
                <w:szCs w:val="21"/>
              </w:rPr>
            </w:pPr>
          </w:p>
        </w:tc>
        <w:tc>
          <w:tcPr>
            <w:tcW w:w="900"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3587" w:type="dxa"/>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A13</w:t>
            </w:r>
          </w:p>
        </w:tc>
        <w:tc>
          <w:tcPr>
            <w:tcW w:w="1050"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000000"/>
                <w:szCs w:val="21"/>
              </w:rPr>
            </w:pPr>
            <w:r>
              <w:rPr>
                <w:rFonts w:hint="eastAsia" w:ascii="宋体" w:hAnsi="宋体" w:cs="宋体"/>
                <w:color w:val="000000"/>
                <w:szCs w:val="21"/>
              </w:rPr>
              <w:t>P13</w:t>
            </w:r>
          </w:p>
        </w:tc>
        <w:tc>
          <w:tcPr>
            <w:tcW w:w="1320" w:type="dxa"/>
            <w:tcBorders>
              <w:top w:val="single" w:color="auto" w:sz="4" w:space="0"/>
              <w:left w:val="single" w:color="auto"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r>
      <w:tr>
        <w:tblPrEx>
          <w:tblCellMar>
            <w:top w:w="0" w:type="dxa"/>
            <w:left w:w="108" w:type="dxa"/>
            <w:bottom w:w="0" w:type="dxa"/>
            <w:right w:w="108" w:type="dxa"/>
          </w:tblCellMar>
        </w:tblPrEx>
        <w:trPr>
          <w:trHeight w:val="369"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A2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35</w:t>
            </w:r>
          </w:p>
        </w:tc>
        <w:tc>
          <w:tcPr>
            <w:tcW w:w="3587" w:type="dxa"/>
            <w:tcBorders>
              <w:top w:val="single" w:color="000000" w:sz="4" w:space="0"/>
              <w:left w:val="single" w:color="auto" w:sz="4" w:space="0"/>
              <w:bottom w:val="single" w:color="000000" w:sz="4" w:space="0"/>
              <w:right w:val="single" w:color="000000" w:sz="4" w:space="0"/>
            </w:tcBorders>
            <w:noWrap w:val="0"/>
            <w:vAlign w:val="center"/>
          </w:tcPr>
          <w:p>
            <w:pPr>
              <w:widowControl/>
              <w:snapToGrid w:val="0"/>
              <w:jc w:val="left"/>
              <w:textAlignment w:val="center"/>
              <w:rPr>
                <w:rFonts w:hint="eastAsia" w:ascii="宋体" w:hAnsi="宋体" w:cs="宋体"/>
                <w:color w:val="000000"/>
                <w:szCs w:val="21"/>
              </w:rPr>
            </w:pPr>
            <w:r>
              <w:rPr>
                <w:rFonts w:ascii="宋体" w:hAnsi="宋体" w:cs="宋体"/>
                <w:color w:val="000000"/>
                <w:szCs w:val="21"/>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73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r>
    </w:tbl>
    <w:p>
      <w:pPr>
        <w:pStyle w:val="5"/>
        <w:spacing w:line="560" w:lineRule="exact"/>
        <w:ind w:firstLine="640" w:firstLineChars="200"/>
        <w:rPr>
          <w:rFonts w:hint="eastAsia" w:ascii="仿宋_GB2312" w:hAnsi="仿宋" w:eastAsia="仿宋_GB2312" w:cs="仿宋_GB2312"/>
          <w:sz w:val="32"/>
          <w:szCs w:val="32"/>
        </w:rPr>
      </w:pPr>
      <w:r>
        <w:rPr>
          <w:rFonts w:hint="eastAsia" w:ascii="楷体_GB2312" w:hAnsi="楷体" w:eastAsia="楷体_GB2312" w:cs="楷体"/>
          <w:sz w:val="32"/>
          <w:szCs w:val="32"/>
        </w:rPr>
        <w:t>（一）二级指标中定量指标的分值计算。</w:t>
      </w:r>
      <w:r>
        <w:rPr>
          <w:rFonts w:hint="eastAsia" w:ascii="仿宋_GB2312" w:hAnsi="仿宋" w:eastAsia="仿宋_GB2312" w:cs="仿宋_GB2312"/>
          <w:sz w:val="32"/>
          <w:szCs w:val="32"/>
        </w:rPr>
        <w:t>对二级指标中的定量数据（含百分数），采用占比法计算得分：Aij=本产业园二级指标数值/∑全市各产业园同个二级指标数值×Pij。例如:A11为规上工业总产值，那么Aij=本产业园的规上工业总产值/全市所有产业园的规上工业总产值之和×P11。</w:t>
      </w:r>
    </w:p>
    <w:p>
      <w:pPr>
        <w:pStyle w:val="5"/>
        <w:spacing w:line="560" w:lineRule="exact"/>
        <w:ind w:firstLine="640" w:firstLineChars="200"/>
        <w:rPr>
          <w:rFonts w:hint="eastAsia" w:ascii="仿宋_GB2312" w:hAnsi="仿宋" w:eastAsia="仿宋_GB2312" w:cs="仿宋_GB2312"/>
          <w:sz w:val="32"/>
          <w:szCs w:val="32"/>
        </w:rPr>
      </w:pPr>
      <w:r>
        <w:rPr>
          <w:rFonts w:hint="eastAsia" w:ascii="楷体_GB2312" w:hAnsi="楷体" w:eastAsia="楷体_GB2312" w:cs="楷体"/>
          <w:sz w:val="32"/>
          <w:szCs w:val="32"/>
        </w:rPr>
        <w:t>（二）</w:t>
      </w:r>
      <w:r>
        <w:rPr>
          <w:rFonts w:ascii="楷体_GB2312" w:hAnsi="楷体" w:eastAsia="楷体_GB2312" w:cs="楷体"/>
          <w:sz w:val="32"/>
          <w:szCs w:val="32"/>
        </w:rPr>
        <w:t>二级指标中</w:t>
      </w:r>
      <w:r>
        <w:rPr>
          <w:rFonts w:hint="eastAsia" w:ascii="楷体_GB2312" w:hAnsi="楷体" w:eastAsia="楷体_GB2312" w:cs="楷体"/>
          <w:sz w:val="32"/>
          <w:szCs w:val="32"/>
        </w:rPr>
        <w:t>定</w:t>
      </w:r>
      <w:r>
        <w:rPr>
          <w:rFonts w:ascii="楷体_GB2312" w:hAnsi="楷体" w:eastAsia="楷体_GB2312" w:cs="楷体"/>
          <w:sz w:val="32"/>
          <w:szCs w:val="32"/>
        </w:rPr>
        <w:t>性指标的</w:t>
      </w:r>
      <w:r>
        <w:rPr>
          <w:rFonts w:hint="eastAsia" w:ascii="楷体_GB2312" w:hAnsi="楷体" w:eastAsia="楷体_GB2312" w:cs="楷体"/>
          <w:sz w:val="32"/>
          <w:szCs w:val="32"/>
        </w:rPr>
        <w:t>分值计算。</w:t>
      </w:r>
      <w:r>
        <w:rPr>
          <w:rFonts w:hint="eastAsia" w:ascii="仿宋_GB2312" w:hAnsi="仿宋" w:eastAsia="仿宋_GB2312" w:cs="仿宋_GB2312"/>
          <w:sz w:val="32"/>
          <w:szCs w:val="32"/>
        </w:rPr>
        <w:t>对二级指标中的定性数据，完成得满分，未完成不得分。</w:t>
      </w:r>
    </w:p>
    <w:p>
      <w:pPr>
        <w:pStyle w:val="5"/>
        <w:spacing w:line="560" w:lineRule="exact"/>
        <w:ind w:firstLine="640" w:firstLineChars="200"/>
        <w:rPr>
          <w:rFonts w:hint="eastAsia" w:ascii="仿宋_GB2312" w:hAnsi="仿宋" w:eastAsia="仿宋_GB2312" w:cs="仿宋_GB2312"/>
          <w:sz w:val="32"/>
          <w:szCs w:val="32"/>
        </w:rPr>
      </w:pPr>
      <w:r>
        <w:rPr>
          <w:rFonts w:hint="eastAsia" w:ascii="楷体_GB2312" w:hAnsi="楷体" w:eastAsia="楷体_GB2312" w:cs="楷体"/>
          <w:sz w:val="32"/>
          <w:szCs w:val="32"/>
        </w:rPr>
        <w:t>（三）</w:t>
      </w:r>
      <w:r>
        <w:rPr>
          <w:rFonts w:ascii="楷体_GB2312" w:hAnsi="楷体" w:eastAsia="楷体_GB2312" w:cs="楷体"/>
          <w:sz w:val="32"/>
          <w:szCs w:val="32"/>
        </w:rPr>
        <w:t>一级指标的分值</w:t>
      </w:r>
      <w:r>
        <w:rPr>
          <w:rFonts w:hint="eastAsia" w:ascii="楷体_GB2312" w:hAnsi="楷体" w:eastAsia="楷体_GB2312" w:cs="楷体"/>
          <w:sz w:val="32"/>
          <w:szCs w:val="32"/>
        </w:rPr>
        <w:t>计算。</w:t>
      </w:r>
      <w:r>
        <w:rPr>
          <w:rFonts w:hint="eastAsia" w:ascii="仿宋_GB2312" w:hAnsi="仿宋" w:eastAsia="仿宋_GB2312" w:cs="仿宋_GB2312"/>
          <w:sz w:val="32"/>
          <w:szCs w:val="32"/>
        </w:rPr>
        <w:t>某个一级指标的得分通过其下属所有二级指标得分的加权求和而得。例如：A1为发展进步，则其得分计算为：A1=65×(A11+A12+A13)%。</w:t>
      </w:r>
    </w:p>
    <w:p>
      <w:pPr>
        <w:pStyle w:val="5"/>
        <w:spacing w:line="560" w:lineRule="exact"/>
        <w:ind w:firstLine="640" w:firstLineChars="200"/>
        <w:rPr>
          <w:rFonts w:hint="eastAsia" w:ascii="仿宋_GB2312" w:hAnsi="仿宋" w:eastAsia="仿宋_GB2312" w:cs="仿宋_GB2312"/>
          <w:sz w:val="32"/>
          <w:szCs w:val="32"/>
        </w:rPr>
      </w:pPr>
      <w:r>
        <w:rPr>
          <w:rFonts w:hint="eastAsia" w:ascii="楷体_GB2312" w:hAnsi="楷体" w:eastAsia="楷体_GB2312" w:cs="楷体"/>
          <w:sz w:val="32"/>
          <w:szCs w:val="32"/>
        </w:rPr>
        <w:t>（四）</w:t>
      </w:r>
      <w:r>
        <w:rPr>
          <w:rFonts w:ascii="楷体_GB2312" w:hAnsi="楷体" w:eastAsia="楷体_GB2312" w:cs="楷体"/>
          <w:sz w:val="32"/>
          <w:szCs w:val="32"/>
        </w:rPr>
        <w:t>综合得分的分值计算</w:t>
      </w:r>
      <w:r>
        <w:rPr>
          <w:rFonts w:hint="eastAsia" w:ascii="楷体_GB2312" w:hAnsi="楷体" w:eastAsia="楷体_GB2312" w:cs="楷体"/>
          <w:sz w:val="32"/>
          <w:szCs w:val="32"/>
        </w:rPr>
        <w:t>。</w:t>
      </w:r>
      <w:r>
        <w:rPr>
          <w:rFonts w:hint="eastAsia" w:ascii="仿宋_GB2312" w:hAnsi="仿宋" w:eastAsia="仿宋_GB2312" w:cs="仿宋_GB2312"/>
          <w:sz w:val="32"/>
          <w:szCs w:val="32"/>
        </w:rPr>
        <w:t>综合得分为各一级指标的得分之和:A=A1+A2。</w:t>
      </w:r>
    </w:p>
    <w:p>
      <w:pPr>
        <w:pStyle w:val="5"/>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二、</w:t>
      </w:r>
      <w:r>
        <w:rPr>
          <w:rFonts w:ascii="黑体" w:hAnsi="黑体" w:eastAsia="黑体" w:cs="黑体"/>
          <w:sz w:val="32"/>
          <w:szCs w:val="32"/>
        </w:rPr>
        <w:t>考核评价</w:t>
      </w:r>
      <w:r>
        <w:rPr>
          <w:rFonts w:hint="eastAsia" w:ascii="黑体" w:hAnsi="黑体" w:eastAsia="黑体" w:cs="黑体"/>
          <w:sz w:val="32"/>
          <w:szCs w:val="32"/>
        </w:rPr>
        <w:t>指标说明</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
          <w:bCs/>
          <w:sz w:val="32"/>
          <w:szCs w:val="32"/>
        </w:rPr>
        <w:t>当年规上工业总产值：</w:t>
      </w:r>
      <w:r>
        <w:rPr>
          <w:rFonts w:hint="eastAsia" w:ascii="仿宋_GB2312" w:hAnsi="仿宋" w:eastAsia="仿宋_GB2312" w:cs="仿宋_GB2312"/>
          <w:sz w:val="32"/>
          <w:szCs w:val="32"/>
        </w:rPr>
        <w:t>指工业园区内规上工业企业在报告期内生产的以货币表现的工业最终产品和提供的工业劳务活动的总价值量。工业总产值的统计按照属地化原则进行。</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
          <w:bCs/>
          <w:sz w:val="32"/>
          <w:szCs w:val="32"/>
        </w:rPr>
        <w:t>当年规上工业总产值增速：</w:t>
      </w:r>
      <w:r>
        <w:rPr>
          <w:rFonts w:hint="eastAsia" w:ascii="仿宋_GB2312" w:hAnsi="仿宋" w:eastAsia="仿宋_GB2312" w:cs="仿宋_GB2312"/>
          <w:sz w:val="32"/>
          <w:szCs w:val="32"/>
        </w:rPr>
        <w:t>指当年规上工业总产值较上一年度规上工业总产值的增长速度。</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
          <w:bCs/>
          <w:sz w:val="32"/>
          <w:szCs w:val="32"/>
        </w:rPr>
        <w:t>当年工业固定资产投资：</w:t>
      </w:r>
      <w:r>
        <w:rPr>
          <w:rFonts w:hint="eastAsia" w:ascii="仿宋_GB2312" w:hAnsi="仿宋" w:eastAsia="仿宋_GB2312" w:cs="仿宋_GB2312"/>
          <w:sz w:val="32"/>
          <w:szCs w:val="32"/>
        </w:rPr>
        <w:t>指工业园区当年以货币表现的规模以上建造和购置固定资产活动的工作量总额。</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
          <w:bCs/>
          <w:sz w:val="32"/>
          <w:szCs w:val="32"/>
        </w:rPr>
        <w:t>当年工业固定资产投资增速：</w:t>
      </w:r>
      <w:r>
        <w:rPr>
          <w:rFonts w:hint="eastAsia" w:ascii="仿宋_GB2312" w:hAnsi="仿宋" w:eastAsia="仿宋_GB2312" w:cs="仿宋_GB2312"/>
          <w:sz w:val="32"/>
          <w:szCs w:val="32"/>
        </w:rPr>
        <w:t>指当年工业固定资产投资较上一年度工业固定资产投资的增长速度。</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
          <w:bCs/>
          <w:sz w:val="32"/>
          <w:szCs w:val="32"/>
        </w:rPr>
        <w:t>当年税收总额：</w:t>
      </w:r>
      <w:r>
        <w:rPr>
          <w:rFonts w:hint="eastAsia" w:ascii="仿宋_GB2312" w:hAnsi="仿宋" w:eastAsia="仿宋_GB2312" w:cs="仿宋_GB2312"/>
          <w:sz w:val="32"/>
          <w:szCs w:val="32"/>
        </w:rPr>
        <w:t>指工业园区内工业企业在报告期末上缴的退税前税收总额。</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
          <w:bCs/>
          <w:sz w:val="32"/>
          <w:szCs w:val="32"/>
        </w:rPr>
        <w:t>当年税收总额增速：</w:t>
      </w:r>
      <w:r>
        <w:rPr>
          <w:rFonts w:hint="eastAsia" w:ascii="仿宋_GB2312" w:hAnsi="仿宋" w:eastAsia="仿宋_GB2312" w:cs="仿宋_GB2312"/>
          <w:sz w:val="32"/>
          <w:szCs w:val="32"/>
        </w:rPr>
        <w:t>指当年税收总额较上一年度税收总额的增长速度。</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
          <w:bCs/>
          <w:sz w:val="32"/>
          <w:szCs w:val="32"/>
        </w:rPr>
        <w:t>单位土地面积规上工业增加值：</w:t>
      </w:r>
      <w:r>
        <w:rPr>
          <w:rFonts w:hint="eastAsia" w:ascii="仿宋_GB2312" w:hAnsi="仿宋" w:eastAsia="仿宋_GB2312" w:cs="仿宋_GB2312"/>
          <w:sz w:val="32"/>
          <w:szCs w:val="32"/>
        </w:rPr>
        <w:t>截止报告期末，园区规上工业增加值与园区投产企业土地证所载面积之和的比值。</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
          <w:bCs/>
          <w:sz w:val="32"/>
          <w:szCs w:val="32"/>
        </w:rPr>
        <w:t>单位土地面积税收贡献</w:t>
      </w:r>
      <w:r>
        <w:rPr>
          <w:rFonts w:hint="eastAsia" w:ascii="仿宋_GB2312" w:hAnsi="仿宋" w:eastAsia="仿宋_GB2312" w:cs="仿宋_GB2312"/>
          <w:sz w:val="32"/>
          <w:szCs w:val="32"/>
        </w:rPr>
        <w:t>：截止报告期末，园区内规上工业企业上缴的税收总额与园区投产企业土地证所载面积之和的比值。</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
          <w:bCs/>
          <w:sz w:val="32"/>
          <w:szCs w:val="32"/>
        </w:rPr>
        <w:t>当年单位土地面积累计工业固定资产投资：</w:t>
      </w:r>
      <w:r>
        <w:rPr>
          <w:rFonts w:hint="eastAsia" w:ascii="仿宋_GB2312" w:hAnsi="仿宋" w:eastAsia="仿宋_GB2312" w:cs="仿宋_GB2312"/>
          <w:sz w:val="32"/>
          <w:szCs w:val="32"/>
        </w:rPr>
        <w:t>计算公式为截止上年度末园区累计规上工业固定资产投资额/园区内已投产企业土地证面积与在建工业项目土地证或土地手续所载面积之总和。</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
          <w:bCs/>
          <w:sz w:val="32"/>
          <w:szCs w:val="32"/>
        </w:rPr>
        <w:t>单位工业增加值能耗降低率：</w:t>
      </w:r>
      <w:r>
        <w:rPr>
          <w:rFonts w:hint="eastAsia" w:ascii="仿宋_GB2312" w:hAnsi="仿宋" w:eastAsia="仿宋_GB2312" w:cs="仿宋_GB2312"/>
          <w:sz w:val="32"/>
          <w:szCs w:val="32"/>
        </w:rPr>
        <w:t>截止报告期末，园区内规上企业综合能源消耗量与园区规上工业增加值的比值与上年该比值的下降百分比。</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
          <w:bCs/>
          <w:sz w:val="32"/>
          <w:szCs w:val="32"/>
        </w:rPr>
        <w:t>单位工业增加值水耗降低率：</w:t>
      </w:r>
      <w:r>
        <w:rPr>
          <w:rFonts w:hint="eastAsia" w:ascii="仿宋_GB2312" w:hAnsi="仿宋" w:eastAsia="仿宋_GB2312" w:cs="仿宋_GB2312"/>
          <w:sz w:val="32"/>
          <w:szCs w:val="32"/>
        </w:rPr>
        <w:t>上年度报告期，园区内规上企业取新鲜水总量与园区规上工业增加值的比值与上年该比值的下降百分比。</w:t>
      </w:r>
    </w:p>
    <w:p>
      <w:pPr>
        <w:pStyle w:val="5"/>
        <w:spacing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规上企业研发费用占营业收入比重：</w:t>
      </w:r>
      <w:r>
        <w:rPr>
          <w:rFonts w:hint="eastAsia" w:ascii="仿宋_GB2312" w:hAnsi="仿宋" w:eastAsia="仿宋_GB2312" w:cs="仿宋_GB2312"/>
          <w:sz w:val="32"/>
          <w:szCs w:val="32"/>
        </w:rPr>
        <w:t>计算公式为报告期内园区规模以上企业研发费用/其营业收入</w:t>
      </w:r>
      <w:r>
        <w:rPr>
          <w:rFonts w:hint="eastAsia" w:ascii="仿宋_GB2312" w:hAnsi="仿宋" w:eastAsia="仿宋_GB2312" w:cs="仿宋"/>
          <w:sz w:val="32"/>
          <w:szCs w:val="32"/>
        </w:rPr>
        <w:t>。</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
          <w:bCs/>
          <w:sz w:val="32"/>
          <w:szCs w:val="32"/>
        </w:rPr>
        <w:t>新获批重点实验室、工程技术研究中心、企业研发中心、企业技术中心数量：</w:t>
      </w:r>
      <w:r>
        <w:rPr>
          <w:rFonts w:hint="eastAsia" w:ascii="仿宋_GB2312" w:hAnsi="仿宋" w:eastAsia="仿宋_GB2312" w:cs="仿宋_GB2312"/>
          <w:sz w:val="32"/>
          <w:szCs w:val="32"/>
        </w:rPr>
        <w:t>当年园区内新增加的经审批的自治区级以上重点实验室的数量、工程技术研究中心、企业研发中心、企业技术中心。</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
          <w:bCs/>
          <w:sz w:val="32"/>
          <w:szCs w:val="32"/>
        </w:rPr>
        <w:t>孵化器、众创空间数量：</w:t>
      </w:r>
      <w:r>
        <w:rPr>
          <w:rFonts w:hint="eastAsia" w:ascii="仿宋_GB2312" w:hAnsi="仿宋" w:eastAsia="仿宋_GB2312" w:cs="仿宋_GB2312"/>
          <w:sz w:val="32"/>
          <w:szCs w:val="32"/>
        </w:rPr>
        <w:t>截止报告期末，园区内设立并根据《科技部关于印发〈科技企业孵化器认定和管理办法〉的</w:t>
      </w:r>
      <w:r>
        <w:rPr>
          <w:rFonts w:ascii="仿宋_GB2312" w:hAnsi="仿宋" w:eastAsia="仿宋_GB2312" w:cs="仿宋_GB2312"/>
          <w:sz w:val="32"/>
          <w:szCs w:val="32"/>
        </w:rPr>
        <w:t>通知</w:t>
      </w:r>
      <w:r>
        <w:rPr>
          <w:rFonts w:hint="eastAsia" w:ascii="仿宋_GB2312" w:hAnsi="仿宋" w:eastAsia="仿宋_GB2312" w:cs="仿宋_GB2312"/>
          <w:sz w:val="32"/>
          <w:szCs w:val="32"/>
        </w:rPr>
        <w:t>》（国科发高〔2010〕680号）、《科技部关于印发〈发展众创空间工作指引〉的</w:t>
      </w:r>
      <w:r>
        <w:rPr>
          <w:rFonts w:ascii="仿宋_GB2312" w:hAnsi="仿宋" w:eastAsia="仿宋_GB2312" w:cs="仿宋_GB2312"/>
          <w:sz w:val="32"/>
          <w:szCs w:val="32"/>
        </w:rPr>
        <w:t>通知</w:t>
      </w:r>
      <w:r>
        <w:rPr>
          <w:rFonts w:hint="eastAsia" w:ascii="仿宋_GB2312" w:hAnsi="仿宋" w:eastAsia="仿宋_GB2312" w:cs="仿宋_GB2312"/>
          <w:sz w:val="32"/>
          <w:szCs w:val="32"/>
        </w:rPr>
        <w:t>》（国科发</w:t>
      </w:r>
      <w:r>
        <w:rPr>
          <w:rFonts w:ascii="仿宋_GB2312" w:hAnsi="仿宋" w:eastAsia="仿宋_GB2312" w:cs="仿宋_GB2312"/>
          <w:sz w:val="32"/>
          <w:szCs w:val="32"/>
        </w:rPr>
        <w:t>火</w:t>
      </w:r>
      <w:r>
        <w:rPr>
          <w:rFonts w:hint="eastAsia" w:ascii="仿宋_GB2312" w:hAnsi="仿宋" w:eastAsia="仿宋_GB2312" w:cs="仿宋_GB2312"/>
          <w:sz w:val="32"/>
          <w:szCs w:val="32"/>
        </w:rPr>
        <w:t>〔201</w:t>
      </w:r>
      <w:r>
        <w:rPr>
          <w:rFonts w:ascii="仿宋_GB2312" w:hAnsi="仿宋" w:eastAsia="仿宋_GB2312" w:cs="仿宋_GB2312"/>
          <w:sz w:val="32"/>
          <w:szCs w:val="32"/>
        </w:rPr>
        <w:t>5</w:t>
      </w:r>
      <w:r>
        <w:rPr>
          <w:rFonts w:hint="eastAsia" w:ascii="仿宋_GB2312" w:hAnsi="仿宋" w:eastAsia="仿宋_GB2312" w:cs="仿宋_GB2312"/>
          <w:sz w:val="32"/>
          <w:szCs w:val="32"/>
        </w:rPr>
        <w:t>〕</w:t>
      </w:r>
      <w:r>
        <w:rPr>
          <w:rFonts w:ascii="仿宋_GB2312" w:hAnsi="仿宋" w:eastAsia="仿宋_GB2312" w:cs="仿宋_GB2312"/>
          <w:sz w:val="32"/>
          <w:szCs w:val="32"/>
        </w:rPr>
        <w:t>297</w:t>
      </w:r>
      <w:r>
        <w:rPr>
          <w:rFonts w:hint="eastAsia" w:ascii="仿宋_GB2312" w:hAnsi="仿宋" w:eastAsia="仿宋_GB2312" w:cs="仿宋_GB2312"/>
          <w:sz w:val="32"/>
          <w:szCs w:val="32"/>
        </w:rPr>
        <w:t>号）文件要求，经相关部门备案的孵化器、众创空间合计数量。</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
          <w:bCs/>
          <w:sz w:val="32"/>
          <w:szCs w:val="32"/>
        </w:rPr>
        <w:t>年度发明专利授权量：</w:t>
      </w:r>
      <w:r>
        <w:rPr>
          <w:rFonts w:hint="eastAsia" w:ascii="仿宋_GB2312" w:hAnsi="仿宋" w:eastAsia="仿宋_GB2312" w:cs="仿宋_GB2312"/>
          <w:sz w:val="32"/>
          <w:szCs w:val="32"/>
        </w:rPr>
        <w:t>当年园区内新增加的经专利审批部门授权的发明专利数量。</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
          <w:bCs/>
          <w:sz w:val="32"/>
          <w:szCs w:val="32"/>
        </w:rPr>
        <w:t>高新技术企业产值占园区工业总产值比重：</w:t>
      </w:r>
      <w:r>
        <w:rPr>
          <w:rFonts w:hint="eastAsia" w:ascii="仿宋_GB2312" w:hAnsi="仿宋" w:eastAsia="仿宋_GB2312" w:cs="仿宋_GB2312"/>
          <w:sz w:val="32"/>
          <w:szCs w:val="32"/>
        </w:rPr>
        <w:t>截止报告期末，园区内设立的符合国务院《高新技术企业认定管理办法》的规上高新技术企业总产值占园区规上工业总产值比重。</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bCs/>
          <w:sz w:val="32"/>
          <w:szCs w:val="32"/>
        </w:rPr>
        <w:t>新获批自治区级以上高新技术企业、科技型中小企业、专精特新企业数量</w:t>
      </w:r>
      <w:r>
        <w:rPr>
          <w:rFonts w:hint="eastAsia" w:ascii="仿宋_GB2312" w:hAnsi="仿宋" w:eastAsia="仿宋_GB2312" w:cs="仿宋_GB2312"/>
          <w:sz w:val="32"/>
          <w:szCs w:val="32"/>
        </w:rPr>
        <w:t>：当年园区内新增加的经审批的自治区级以上高新技术企业、科技型中小企业、专精特新企业。</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
          <w:bCs/>
          <w:sz w:val="32"/>
          <w:szCs w:val="32"/>
        </w:rPr>
        <w:t>新入园开工项目数（含新入驻标准化厂房项目）：</w:t>
      </w:r>
      <w:r>
        <w:rPr>
          <w:rFonts w:hint="eastAsia" w:ascii="仿宋_GB2312" w:hAnsi="仿宋" w:eastAsia="仿宋_GB2312" w:cs="仿宋_GB2312"/>
          <w:sz w:val="32"/>
          <w:szCs w:val="32"/>
        </w:rPr>
        <w:t>截止报告期末，园区内当年新增加项目中已开工的项目数。</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
          <w:bCs/>
          <w:sz w:val="32"/>
          <w:szCs w:val="32"/>
        </w:rPr>
        <w:t>新入园开工项目完成投资额（含新入驻标准化厂房项目的设备投资额）：</w:t>
      </w:r>
      <w:r>
        <w:rPr>
          <w:rFonts w:hint="eastAsia" w:ascii="仿宋_GB2312" w:hAnsi="仿宋" w:eastAsia="仿宋_GB2312" w:cs="仿宋_GB2312"/>
          <w:sz w:val="32"/>
          <w:szCs w:val="32"/>
        </w:rPr>
        <w:t>截止报告期末，园区内新增加项目中当年新开工的项目、续建的项目当年投入的投资金额。</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bCs/>
          <w:sz w:val="32"/>
          <w:szCs w:val="32"/>
        </w:rPr>
        <w:t>年底园区路网密度</w:t>
      </w:r>
      <w:r>
        <w:rPr>
          <w:rFonts w:hint="eastAsia" w:ascii="仿宋_GB2312" w:hAnsi="仿宋" w:eastAsia="仿宋_GB2312" w:cs="仿宋_GB2312"/>
          <w:sz w:val="32"/>
          <w:szCs w:val="32"/>
        </w:rPr>
        <w:t>：截止报告期末，园区建成区内单位面积的路网长度。</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bCs/>
          <w:sz w:val="32"/>
          <w:szCs w:val="32"/>
        </w:rPr>
        <w:t>新增基础设施建设投资完成总额：</w:t>
      </w:r>
      <w:r>
        <w:rPr>
          <w:rFonts w:hint="eastAsia" w:ascii="仿宋_GB2312" w:hAnsi="仿宋" w:eastAsia="仿宋_GB2312" w:cs="仿宋_GB2312"/>
          <w:sz w:val="32"/>
          <w:szCs w:val="32"/>
        </w:rPr>
        <w:t>截止报告期末，当年新增基础设施建设完成的投资额度，包含当年新开的和续建的基础设施项目当年的完成投资额。</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bCs/>
          <w:sz w:val="32"/>
          <w:szCs w:val="32"/>
        </w:rPr>
        <w:t>公用固废渣场、污水处理厂，集中供热保障度</w:t>
      </w:r>
      <w:r>
        <w:rPr>
          <w:rFonts w:hint="eastAsia" w:ascii="仿宋_GB2312" w:hAnsi="仿宋" w:eastAsia="仿宋_GB2312" w:cs="仿宋_GB2312"/>
          <w:sz w:val="32"/>
          <w:szCs w:val="32"/>
        </w:rPr>
        <w:t>：截止报告期末，园区公用固废渣场、污水处理厂、集中供热保障程度。</w:t>
      </w:r>
    </w:p>
    <w:p>
      <w:pPr>
        <w:pStyle w:val="5"/>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bCs/>
          <w:sz w:val="32"/>
          <w:szCs w:val="32"/>
        </w:rPr>
        <w:t>环境治理水平：</w:t>
      </w:r>
      <w:r>
        <w:rPr>
          <w:rFonts w:hint="eastAsia" w:ascii="仿宋_GB2312" w:hAnsi="仿宋" w:eastAsia="仿宋_GB2312" w:cs="仿宋_GB2312"/>
          <w:sz w:val="32"/>
          <w:szCs w:val="32"/>
        </w:rPr>
        <w:t>主要从污染防治任务落实情况、环保督察整改任务完成情况、环境违法行为查处情况三方面考核。</w:t>
      </w:r>
    </w:p>
    <w:p>
      <w:pPr>
        <w:spacing w:line="560" w:lineRule="exact"/>
        <w:rPr>
          <w:rFonts w:hint="eastAsia" w:ascii="仿宋_GB2312" w:hAnsi="仿宋" w:eastAsia="仿宋_GB2312"/>
        </w:rPr>
      </w:pPr>
    </w:p>
    <w:p>
      <w:pPr>
        <w:ind w:firstLine="640" w:firstLineChars="200"/>
        <w:rPr>
          <w:rFonts w:hint="eastAsia" w:eastAsia="仿宋_GB2312"/>
          <w:sz w:val="32"/>
        </w:rPr>
      </w:pPr>
    </w:p>
    <w:p>
      <w:pPr>
        <w:adjustRightInd w:val="0"/>
        <w:snapToGrid w:val="0"/>
        <w:spacing w:line="580" w:lineRule="exact"/>
        <w:ind w:firstLine="640" w:firstLineChars="200"/>
        <w:rPr>
          <w:rFonts w:hint="eastAsia" w:ascii="仿宋_GB2312" w:eastAsia="仿宋_GB2312"/>
          <w:sz w:val="32"/>
        </w:rPr>
      </w:pPr>
    </w:p>
    <w:p>
      <w:pPr>
        <w:adjustRightInd w:val="0"/>
        <w:snapToGrid w:val="0"/>
        <w:spacing w:line="580" w:lineRule="exact"/>
        <w:ind w:firstLine="640" w:firstLineChars="200"/>
        <w:rPr>
          <w:rFonts w:hint="eastAsia" w:ascii="仿宋_GB2312" w:eastAsia="仿宋_GB2312"/>
          <w:sz w:val="32"/>
        </w:rPr>
      </w:pPr>
    </w:p>
    <w:p>
      <w:pPr>
        <w:ind w:firstLine="600"/>
        <w:rPr>
          <w:rFonts w:eastAsia="仿宋_GB2312"/>
          <w:sz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2JhMTE1Y2JkNWYwZjVhY2ZjMGI2MjdhZmRkZDIifQ=="/>
  </w:docVars>
  <w:rsids>
    <w:rsidRoot w:val="00000000"/>
    <w:rsid w:val="541E0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firstLine="640" w:firstLineChars="200"/>
    </w:pPr>
    <w:rPr>
      <w:rFonts w:ascii="Times New Roman" w:hAnsi="Times New Roman" w:eastAsia="仿宋_GB2312"/>
      <w:sz w:val="32"/>
      <w:szCs w:val="24"/>
    </w:rPr>
  </w:style>
  <w:style w:type="paragraph" w:customStyle="1" w:styleId="5">
    <w:name w:val="水电正文"/>
    <w:basedOn w:val="1"/>
    <w:uiPriority w:val="0"/>
    <w:pPr>
      <w:adjustRightInd w:val="0"/>
      <w:snapToGrid w:val="0"/>
    </w:pPr>
    <w:rPr>
      <w:rFonts w:hAnsi="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2023-02-02T02:20:56Z</dcterms:created>
  <dc:creator>admin</dc:creator>
  <cp:lastModifiedBy>admin</cp:lastModifiedBy>
  <dcterms:modified xsi:type="dcterms:W3CDTF">2023-02-02T02:21:39Z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CF01D585F9E24DCCAE7E62406DF0858E</vt:lpwstr>
  </property>
</Properties>
</file>