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200" w:type="dxa"/>
        <w:tblInd w:w="108" w:type="dxa"/>
        <w:tblLayout w:type="fixed"/>
        <w:tblCellMar>
          <w:top w:w="0" w:type="dxa"/>
          <w:left w:w="108" w:type="dxa"/>
          <w:bottom w:w="0" w:type="dxa"/>
          <w:right w:w="108" w:type="dxa"/>
        </w:tblCellMar>
      </w:tblPr>
      <w:tblGrid>
        <w:gridCol w:w="660"/>
        <w:gridCol w:w="1249"/>
        <w:gridCol w:w="800"/>
        <w:gridCol w:w="1140"/>
        <w:gridCol w:w="2420"/>
        <w:gridCol w:w="3551"/>
        <w:gridCol w:w="2849"/>
        <w:gridCol w:w="760"/>
        <w:gridCol w:w="771"/>
      </w:tblGrid>
      <w:tr>
        <w:tblPrEx>
          <w:tblCellMar>
            <w:top w:w="0" w:type="dxa"/>
            <w:left w:w="108" w:type="dxa"/>
            <w:bottom w:w="0" w:type="dxa"/>
            <w:right w:w="108" w:type="dxa"/>
          </w:tblCellMar>
        </w:tblPrEx>
        <w:trPr>
          <w:trHeight w:val="1044" w:hRule="atLeast"/>
        </w:trPr>
        <w:tc>
          <w:tcPr>
            <w:tcW w:w="14200" w:type="dxa"/>
            <w:gridSpan w:val="9"/>
            <w:tcBorders>
              <w:top w:val="nil"/>
              <w:left w:val="nil"/>
              <w:bottom w:val="single" w:color="auto" w:sz="4" w:space="0"/>
              <w:right w:val="nil"/>
            </w:tcBorders>
            <w:shd w:val="clear" w:color="auto" w:fill="auto"/>
            <w:noWrap/>
            <w:vAlign w:val="center"/>
          </w:tcPr>
          <w:p>
            <w:pPr>
              <w:widowControl/>
              <w:spacing w:line="560" w:lineRule="exact"/>
              <w:jc w:val="center"/>
              <w:rPr>
                <w:rFonts w:hint="eastAsia" w:ascii="仿宋_GB2312" w:hAnsi="仿宋_GB2312" w:eastAsia="仿宋_GB2312" w:cs="仿宋_GB2312"/>
                <w:bCs/>
                <w:color w:val="000000"/>
                <w:kern w:val="0"/>
                <w:sz w:val="21"/>
                <w:szCs w:val="21"/>
              </w:rPr>
            </w:pPr>
            <w:bookmarkStart w:id="0" w:name="_GoBack"/>
            <w:r>
              <w:rPr>
                <w:rFonts w:hint="eastAsia" w:ascii="方正小标宋简体" w:hAnsi="方正小标宋简体" w:eastAsia="方正小标宋简体" w:cs="方正小标宋简体"/>
                <w:bCs/>
                <w:color w:val="000000"/>
                <w:kern w:val="0"/>
                <w:sz w:val="44"/>
                <w:szCs w:val="44"/>
                <w:lang w:eastAsia="zh-CN"/>
              </w:rPr>
              <w:t>赤峰市医疗保障局</w:t>
            </w:r>
            <w:r>
              <w:rPr>
                <w:rFonts w:hint="eastAsia" w:ascii="方正小标宋简体" w:hAnsi="方正小标宋简体" w:eastAsia="方正小标宋简体" w:cs="方正小标宋简体"/>
                <w:bCs/>
                <w:color w:val="000000"/>
                <w:kern w:val="0"/>
                <w:sz w:val="44"/>
                <w:szCs w:val="44"/>
              </w:rPr>
              <w:t>行政执法责任制清单</w:t>
            </w:r>
            <w:bookmarkEnd w:id="0"/>
          </w:p>
        </w:tc>
      </w:tr>
      <w:tr>
        <w:tblPrEx>
          <w:tblCellMar>
            <w:top w:w="0" w:type="dxa"/>
            <w:left w:w="108" w:type="dxa"/>
            <w:bottom w:w="0" w:type="dxa"/>
            <w:right w:w="108" w:type="dxa"/>
          </w:tblCellMar>
        </w:tblPrEx>
        <w:trPr>
          <w:trHeight w:val="50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序号</w:t>
            </w:r>
          </w:p>
        </w:tc>
        <w:tc>
          <w:tcPr>
            <w:tcW w:w="124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权力名称</w:t>
            </w:r>
          </w:p>
        </w:tc>
        <w:tc>
          <w:tcPr>
            <w:tcW w:w="80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权力类别</w:t>
            </w:r>
          </w:p>
        </w:tc>
        <w:tc>
          <w:tcPr>
            <w:tcW w:w="114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责任主体</w:t>
            </w:r>
          </w:p>
        </w:tc>
        <w:tc>
          <w:tcPr>
            <w:tcW w:w="24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设定依据</w:t>
            </w:r>
          </w:p>
        </w:tc>
        <w:tc>
          <w:tcPr>
            <w:tcW w:w="3551"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责任事项</w:t>
            </w:r>
          </w:p>
        </w:tc>
        <w:tc>
          <w:tcPr>
            <w:tcW w:w="284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eastAsia" w:ascii="仿宋_GB2312" w:hAnsi="仿宋_GB2312" w:eastAsia="仿宋_GB2312" w:cs="仿宋_GB2312"/>
                <w:b/>
                <w:bCs/>
                <w:color w:val="000000"/>
                <w:spacing w:val="-20"/>
                <w:kern w:val="0"/>
                <w:sz w:val="21"/>
                <w:szCs w:val="21"/>
              </w:rPr>
            </w:pPr>
            <w:r>
              <w:rPr>
                <w:rFonts w:hint="eastAsia" w:ascii="仿宋_GB2312" w:hAnsi="仿宋_GB2312" w:eastAsia="仿宋_GB2312" w:cs="仿宋_GB2312"/>
                <w:b/>
                <w:bCs/>
                <w:color w:val="000000"/>
                <w:spacing w:val="-20"/>
                <w:kern w:val="0"/>
                <w:sz w:val="21"/>
                <w:szCs w:val="21"/>
              </w:rPr>
              <w:t>追责情形及追责依据</w:t>
            </w:r>
          </w:p>
        </w:tc>
        <w:tc>
          <w:tcPr>
            <w:tcW w:w="76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责任科室</w:t>
            </w:r>
          </w:p>
        </w:tc>
        <w:tc>
          <w:tcPr>
            <w:tcW w:w="771"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责任人</w:t>
            </w:r>
          </w:p>
        </w:tc>
      </w:tr>
      <w:tr>
        <w:tblPrEx>
          <w:tblCellMar>
            <w:top w:w="0" w:type="dxa"/>
            <w:left w:w="108" w:type="dxa"/>
            <w:bottom w:w="0" w:type="dxa"/>
            <w:right w:w="108" w:type="dxa"/>
          </w:tblCellMar>
        </w:tblPrEx>
        <w:trPr>
          <w:trHeight w:val="49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124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对可能被转移、隐匿或者灭失的资料予以封存（医疗保险和生育保险）</w:t>
            </w:r>
          </w:p>
        </w:tc>
        <w:tc>
          <w:tcPr>
            <w:tcW w:w="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行政</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强制</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赤峰市医疗保障局</w:t>
            </w:r>
          </w:p>
        </w:tc>
        <w:tc>
          <w:tcPr>
            <w:tcW w:w="24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【法律】《中华人民共和国社会保险法》（2010年10月28日中华人民共和国主席令第三十五号，2018年12月29日中华人民共和国主席令第二十五号修正）第七十九条第一款 社会保险行政部门对社会保险基金实施监督检查，有权采取下列措施 （一）查阅、记录、复制与社会保险基金收支、管理和投资运营相关的资料，对可能被转移、隐匿或者灭失的资料予以封存。</w:t>
            </w:r>
          </w:p>
        </w:tc>
        <w:tc>
          <w:tcPr>
            <w:tcW w:w="35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1.报批补批责任：在实施前须报行政机关负责人批准；情况紧急需要当场实施行政强制措施的，在24小时内报告并补办批准手续。</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2.出示执法证责任：由2名以上具备资格的行政执法人员实施，并向当事人出示《行政执法证》，表明执法身份。</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3.通知当事人责任：通知当事人到场；当事人不到场的，邀请见证人到场，见证人应当是与案件没有利害关系的人。</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4.告知权利责任：当场告知当事人采取行政强制措施的理由、依据以及当事人依法享有的陈述权、申辩权、回避权、申请复议和提起诉讼的期限和途径。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5.听取意见责任：听取当事人的陈述和申辩，当事人提出的理由、依据和证据成立的，行政机关应当采纳，制作《询问陈述申辩笔录》。行政机关不得因当事人申辩而加重实施行政强制措施。</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6.制作现场笔录责任：制作现场笔录，客观记录现场监督检查和实施行政强制措施的全过程，包括：实施行政强制措施的事由、时间、地点、当事人、实施人员、其他参加人员的到场情况；实施行政强制措施的过程和结果；当事人的陈述和申辩，或者见证人对实施提出的意见或者看法；其他需要记录的有关情况。</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7.作出强制措施决定责任：依法制作、当场交付《查封扣押决定书》和《查封扣押物品清单》，冻结存款汇款的在三日内向当事人交付《冻结决定书》，并向金融机构交付《冻结通知书》；决定书中须载明：“当事人的姓名或者名称、地址；查封、扣押、冻结的理由、依据和期限；查封、扣押场所、设施或者财物的名称、数量，冻结的账号和数额；申请行政复议或者提起行政诉讼的途径和期限；行政机关的名称、印章和日期”；违法行为情节显著轻微或者没有明显社会危害的，可以不采取行政强制措施；行政强制措施权不得委托；查封、扣押限于涉案的场所、设施或者财物，不得查封、扣押与违法行为无关的场所、设施或者财物；不得查封、扣押公民个人及其所扶养家属的生活必需品；已被其他国家机关依法查封的，不得重复查封。</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8.作出行政处理决定责任：实施行政强制措施不得超过30日，情况复杂经负责人批准可以延长，但最长不得超过30日，并书面告知当事人延长期限的决定及理由。在30日内（经批准最多延长30日的在60日内）作出行政处理决定。对违法事实清楚，依法应当没收的非法财物予以没收；法律、行政法规规定应当销毁的，依法销毁；应当解除查封、扣押、冻结的，作出解除查封、扣押、冻结的决定。</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9.事后监管责任：行政强制措施由依法具有行政强制措施权的行政机关和法律、行政法规授权的组织在法定职权范围内实施；行政强制措施由行政机关具备资格的执法人员实施，其他人员不得实施；不得利用行政强制权为单位和个人谋取利益；不得在冻结存款汇款前向当事人通风报信泄露信息；不得使用和损毁查封、扣押的财物；查封、扣押场所、设施和财物不得收取费用；符合法定条件的应依法解除行政强制措施；违法行为涉嫌犯罪的移送司法机关；不得擅自改变行政强制的对象、条件和方式；不得扩大查封、扣押、冻结范围；不得截留、私分或者变相私分查封、扣押的财物或者划拨的存款、汇款以及拍卖和依法处理所得的款项。</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10.法律法规规章规定应履行的其他责任。</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1.【法律】《中华人民共和国社会保险法》</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第八十九条   社会保险经办机构及其工作人员有下列行为之一的，由社会保险行政部门责令改正；给社会保险基金、用人单位或者个人造成损失的，依法承担赔偿责任；对直接负责的主管人员和其他直接责任人员依法给予处分：</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（一）未履行社会保险法定职责的；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（二）未将社会保险基金存入财政专户的；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（三）克扣或者拒不按时支付社会保险待遇的；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（四）丢失或者篡改缴费记录、享受社会保险待遇记录等社会保险数据、个人权益记录的；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（五）有违反社会保险法律、法规的其他行为的。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第九十条   社会保险费征收机构擅自更改社会保险费缴费基数、费率，导致少收或者多收社会保险费的，由有关行政部门责令其追缴应当缴纳的社会保险费或者退还不应当缴纳的社会保险费；对直接负责的主管人员和其他直接责任人员依法给予处分。</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第九十一条   违反本法规定，隐匿、转移、侵占、挪用社会保险基金或者违规投资运营的，由社会保险行政部门、财政部门、审计机关责令追回；有违法所得的，没收违法所得；对直接负责的主管人员和其他直接责任人员依法给予处分。</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第九十二条   社会保险行政部门和其他有关行政部门、社会保险经办机构、社会保险费征收机构及其工作人员泄露用人单位和个人信息的，对直接负责的主管人员和其他直接责任人员依法给予处分；给用人单位或者个人造成损失的，应当承担赔偿责任。</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第九十三条　国家工作人员在社会保险管理、监督工作中滥用职权、玩忽职守、徇私舞弊的，依法给予处分。</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第九十四条　违反本法规定，构成犯罪的，依法追究刑事责任。</w:t>
            </w:r>
          </w:p>
        </w:tc>
        <w:tc>
          <w:tcPr>
            <w:tcW w:w="76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业务二科</w:t>
            </w:r>
          </w:p>
        </w:tc>
        <w:tc>
          <w:tcPr>
            <w:tcW w:w="771" w:type="dxa"/>
            <w:tcBorders>
              <w:top w:val="nil"/>
              <w:left w:val="nil"/>
              <w:bottom w:val="single" w:color="auto" w:sz="4" w:space="0"/>
              <w:right w:val="single" w:color="auto" w:sz="4" w:space="0"/>
            </w:tcBorders>
            <w:shd w:val="clear" w:color="auto" w:fill="auto"/>
            <w:vAlign w:val="bottom"/>
          </w:tcPr>
          <w:p>
            <w:pPr>
              <w:widowControl/>
              <w:spacing w:line="560" w:lineRule="exact"/>
              <w:jc w:val="both"/>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李焕成</w:t>
            </w:r>
          </w:p>
        </w:tc>
      </w:tr>
      <w:tr>
        <w:tblPrEx>
          <w:tblCellMar>
            <w:top w:w="0" w:type="dxa"/>
            <w:left w:w="108" w:type="dxa"/>
            <w:bottom w:w="0" w:type="dxa"/>
            <w:right w:w="108" w:type="dxa"/>
          </w:tblCellMar>
        </w:tblPrEx>
        <w:trPr>
          <w:trHeight w:val="49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124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对社会（医疗和生育）保险费缴纳情况和社会（医疗和生育）保险待遇领取情况的监督检查</w:t>
            </w:r>
          </w:p>
        </w:tc>
        <w:tc>
          <w:tcPr>
            <w:tcW w:w="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行政监督检查</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赤峰市医疗保障局</w:t>
            </w:r>
          </w:p>
        </w:tc>
        <w:tc>
          <w:tcPr>
            <w:tcW w:w="24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FF0000"/>
                <w:kern w:val="0"/>
                <w:sz w:val="21"/>
                <w:szCs w:val="21"/>
                <w:u w:val="none"/>
                <w:lang w:val="en-US" w:eastAsia="zh-CN" w:bidi="ar"/>
              </w:rPr>
              <w:t xml:space="preserve">【法律】《中华人民共和国社会保险法》（2010年10月28日中华人民共和国主席令第三十五号，2018年12月29日中华人民共和国主席令第二十五号修正）第七十七条 县级以上人民政府社会保险行政部门应当加强对用人单位和个人遵守社会保险法律、法规情况的监督检查。社会保险行政部门实施监督检查时，被检查的用人单位和个人应当如实提供与社会保险有关的资料，不得拒绝检查或者谎报、瞒报。                 </w:t>
            </w:r>
            <w:r>
              <w:rPr>
                <w:rFonts w:hint="eastAsia" w:ascii="仿宋_GB2312" w:hAnsi="仿宋_GB2312" w:eastAsia="仿宋_GB2312" w:cs="仿宋_GB2312"/>
                <w:i w:val="0"/>
                <w:color w:val="FF0000"/>
                <w:kern w:val="0"/>
                <w:sz w:val="21"/>
                <w:szCs w:val="21"/>
                <w:u w:val="none"/>
                <w:lang w:val="en-US" w:eastAsia="zh-CN" w:bidi="ar"/>
              </w:rPr>
              <w:br w:type="textWrapping"/>
            </w:r>
            <w:r>
              <w:rPr>
                <w:rFonts w:hint="eastAsia" w:ascii="仿宋_GB2312" w:hAnsi="仿宋_GB2312" w:eastAsia="仿宋_GB2312" w:cs="仿宋_GB2312"/>
                <w:i w:val="0"/>
                <w:color w:val="FF0000"/>
                <w:kern w:val="0"/>
                <w:sz w:val="21"/>
                <w:szCs w:val="21"/>
                <w:u w:val="none"/>
                <w:lang w:val="en-US" w:eastAsia="zh-CN" w:bidi="ar"/>
              </w:rPr>
              <w:t xml:space="preserve">【行政法规】《社会保险费征缴暂行条例》（1999年1月22日中华人民共和国国务院令第259号发布）第五条 国务院劳动保障行政部门负责全国的社会保险费征缴管理和监督检查工作。县级以上地方各级人民政府劳动保障行政部门负责本行政区域内的社会保险费征缴管理和监督检查工作。第十八条第一款 按照省、自治区、直辖市人民政府关于社会保险费征缴机构的规定，劳动保障行政部门或者税务机关依法对单位缴费情况进行检查时，被检查的单位应当提供与缴纳社会保险费有关的用人情况、工资表、财务报表等资料，如实反映情况，不得拒绝检查，不得谎报、瞒报。劳动保障行政部门或者税务机关可以记录、录音、录像、照相和复制有关资料；但是，应当为缴费单位保密。                                                                                 </w:t>
            </w:r>
            <w:r>
              <w:rPr>
                <w:rFonts w:hint="eastAsia" w:ascii="仿宋_GB2312" w:hAnsi="仿宋_GB2312" w:eastAsia="仿宋_GB2312" w:cs="仿宋_GB2312"/>
                <w:i w:val="0"/>
                <w:color w:val="FF0000"/>
                <w:kern w:val="0"/>
                <w:sz w:val="21"/>
                <w:szCs w:val="21"/>
                <w:u w:val="none"/>
                <w:lang w:val="en-US" w:eastAsia="zh-CN" w:bidi="ar"/>
              </w:rPr>
              <w:br w:type="textWrapping"/>
            </w:r>
            <w:r>
              <w:rPr>
                <w:rFonts w:hint="eastAsia" w:ascii="仿宋_GB2312" w:hAnsi="仿宋_GB2312" w:eastAsia="仿宋_GB2312" w:cs="仿宋_GB2312"/>
                <w:i w:val="0"/>
                <w:color w:val="FF0000"/>
                <w:kern w:val="0"/>
                <w:sz w:val="21"/>
                <w:szCs w:val="21"/>
                <w:u w:val="none"/>
                <w:lang w:val="en-US" w:eastAsia="zh-CN" w:bidi="ar"/>
              </w:rPr>
              <w:t>【部门规章】《社会保险稽核办法》（2003年2月27日劳动和社会保障部令第16号公布）第三条 县级以上社会保险经办机构负责社会保险稽核工作。县级以上社会保险经办机构的稽核部门具体承办社会保险稽核工作。第五条 社会保险经办机构及社会保险稽核人员开展稽核工作，行使下列职权：（一）要求被稽核单位提供用人情况、工资收入情况、财务报表、统计报表、缴费数据和相关帐册、会计凭证等与缴纳社会保险费有关的情况和资料；（二）可以记录、录音、录像、照相和复制与缴纳社会保险费有关的资料，对被稽核对象的参保情况和缴纳社会保险费等方面的情况进行调查、询问；（三）要求被稽核对象提供与稽核事项有关的资料。</w:t>
            </w:r>
          </w:p>
        </w:tc>
        <w:tc>
          <w:tcPr>
            <w:tcW w:w="35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1.立案责任：①任何组织或个人对违反劳动保障法律的行为，有权向劳动和社会保障行政部门举报投诉。②对有明确的投诉单位、属于劳动监察的事项并由受理投诉的劳动保障行政部门管辖、违法行为自发生之日起未满两年的符合受理条件的投诉，应在5个工作日依法受理，并于受理之日立案查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2.调查检查责任：①由两名以上监察人员共同进行；②佩戴劳动保障监察标志、出示行政执法证件；③告知被检查单位监察的内容、要求和方式；④就调查事项制作笔录，应当由劳动保障监察员和被调查人（或者其委托代理人）签名或者盖章。被调查人拒不签名、盖章的，应当注明拒签情况。 ⑤执法过程中获得的商业秘密，应为举报人保密.⑥符合应当回避情形的，须回避。</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3.处理责任：①立案调查完成后，用人单位存在违反劳动保障法律法规行为，事实确凿并有法定处罚（责令整改、处理）依据的，需作出行政处罚（责令整改、处理）的，应在15个工作日内作出，并告知用人单位。②依法应当受到行政处罚的，依法作出行政处罚决定，并制作《劳动监察行政处罚决定书》；对应当改正未改正的，依法责令改正或者作出相应的行政处理决定；对情节轻微且已改正的，撤销立案。发现违法案件不属于劳动保障监察事项的，应当及时移送有关部门处理；涉嫌犯罪的，应当依法移送司法机关。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4.事后监管责任：① 对被检查单位履行行政处罚决定情况、限期整改情况进行定期检查，重点检查相对人整改方案落实情况。② 建立健全监督管理的长效机制。</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5.法律法规规章规定应履行的其他责任。</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1.【法律】《中华人民共和国社会保险法》</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第九十三条  国家工作人员在社会保险管理、监督工作中滥用职权、玩忽职守、徇私舞弊的，依法给予处分。</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2.【部门规章】《社会保险费征缴监督检查办法》（依据《社会保险费征缴暂行条例》（中华人民共和国国务院令第２５９号），劳动和社会保障部制定了《社会保险费征缴监督检查办法》，现予发布施行。）</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第二十条　劳动保障行政部门和社会保险经办机构的工作人员滥用职权、徇私舞弊、玩忽职守，构成犯罪，贪污追究刑事责任；尚不构成犯罪的，给予责任人员行政处分。</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3.【地方性法规】《内蒙古自治区劳动保障监察条例》（２０１０年３月２５日内蒙古自治区第十一届人民代表大会常务委员会第十三次会议通过，２０１０年３月２５日内蒙古自治区第十一届人民代表大会常务委员会公告第十五号公布，自２０１０年５月１日起施行。）</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第二十七条  劳动保障监察工作人员有下列行为之一的，由有关部门对直接负责的主管人员和其他直接责任人员依法给予行政处分；构成犯罪的，依法追究刑事责任：（一）不依法履行工作职责，造成重大违法案件发生的；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（二）不依法受理对劳动保障违法行为的举报、投诉或者拖延、拒绝处理案件，损害当事人合法权益的；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（三）泄露在履行职责过程中知悉的商业秘密的；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（四）泄露案情或者举报者，造成不良后果的；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（五）利用职权干扰用人单位正常生产经营的；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（六）有其他滥用职权、玩忽职守、徇私舞弊行为的。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劳动保障行政部门和劳动保障监察工作人员违法行使职权，侵犯用人单位或者劳动者的合法权益的，依法承担赔偿责任。</w:t>
            </w:r>
          </w:p>
        </w:tc>
        <w:tc>
          <w:tcPr>
            <w:tcW w:w="76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业务二科</w:t>
            </w:r>
          </w:p>
        </w:tc>
        <w:tc>
          <w:tcPr>
            <w:tcW w:w="771" w:type="dxa"/>
            <w:tcBorders>
              <w:top w:val="nil"/>
              <w:left w:val="nil"/>
              <w:bottom w:val="single" w:color="auto" w:sz="4" w:space="0"/>
              <w:right w:val="single" w:color="auto" w:sz="4" w:space="0"/>
            </w:tcBorders>
            <w:shd w:val="clear" w:color="auto" w:fill="auto"/>
            <w:vAlign w:val="bottom"/>
          </w:tcPr>
          <w:p>
            <w:pPr>
              <w:widowControl/>
              <w:spacing w:line="560" w:lineRule="exact"/>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李焕成</w:t>
            </w:r>
          </w:p>
        </w:tc>
      </w:tr>
      <w:tr>
        <w:tblPrEx>
          <w:tblCellMar>
            <w:top w:w="0" w:type="dxa"/>
            <w:left w:w="108" w:type="dxa"/>
            <w:bottom w:w="0" w:type="dxa"/>
            <w:right w:w="108" w:type="dxa"/>
          </w:tblCellMar>
        </w:tblPrEx>
        <w:trPr>
          <w:trHeight w:val="49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p>
        </w:tc>
        <w:tc>
          <w:tcPr>
            <w:tcW w:w="124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对社会（医疗和生育）保险基金的收支、管理和投资运营情况的监督检查</w:t>
            </w:r>
          </w:p>
        </w:tc>
        <w:tc>
          <w:tcPr>
            <w:tcW w:w="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行政监督检查</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赤峰市医疗保障局</w:t>
            </w:r>
          </w:p>
        </w:tc>
        <w:tc>
          <w:tcPr>
            <w:tcW w:w="24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【法律】《中华人民共和国社会保险法》（2010年10月28日中华人民共和国主席令第三十五号，2018年12月29日中华人民共和国主席令第二十五号修正）七十九条 社会保险行政部门对社会保险基金的收支、管理和投资运营情况进行监督检查，发现存在问题的，应当提出整改建议，依法作出处理决定或者向有关行政部门提出处理建议。社会保险基金检查结果应当定期向社会公布。</w:t>
            </w:r>
          </w:p>
        </w:tc>
        <w:tc>
          <w:tcPr>
            <w:tcW w:w="35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1.立案责任：①任何组织或者个人有权对违反社会保险法律、法规的行为进行举报、投诉。②属于本部门、本机构职责范围的举报、投诉，应当依法处理；③对不属于本部门、本机构职责范围的，应当书面通知并移交有权处理的部门、机构处理。有权处理的部门、机构应当及时处理，不得推诿。</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2.调查检查责任：①通过检查发现、移交、举报等手段发现单位或个人有危害社保基金安全的行为，指派本机关具备行政强制措施实施资格的2名行政执法人员调查取证，出示自治区人民政府统一制发的行政执法证件并记录在案； ②查阅、记录、复制与社会保险基金收支、管理和投资运营相关的资料，对可能被转移、隐匿或者灭失的资料予以封存；③社会保险行政部门应当依法为用人单位和个人的信息保密，不得以任何形式泄露。</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3.处理责任：①立案调查完成后，社会保险行政部门对社会保险基金的收支、管理和投资运营情况进行监督检查，发现存在问题的，应当提出整改建议，依法作出处理决定或者向有关行政部门提出处理建议。②对隐匿、转移、侵占、挪用社会保险基金的行为予以制止并责令改正。③ 社会保险基金检查结果应当定期向社会公布。</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4.督促整改责任：①对监督检查中发现的问题以书面形式告知相关责任人；② 督促相关责任人按照整改报告内容进行整改。</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5.事后监管责任：① 对被检查单位履行限期整改情况进行定期检查，重点检查相对人整改方案落实情况。② 建立健全社会保险基金监督管理的长效机制。</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6.法律法规规章规定应履行的其他责任。</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1.【法律】《中华人民共和国社会保险法》</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第九十二条   社会保险行政部门和其他有关行政部门、社会保险经办机构、社会保险费征收机构及其工作人员泄露用人单位和个人信息的，对直接负责的主管人员和其他直接责任人员依法给予处分；给用人单位或者个人造成损失的，应当承担赔偿责任。</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第九十三条　国家工作人员在社会保险管理、监督工作中滥用职权、玩忽职守、徇私舞弊的，依法给予处分。</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第九十四条　违反本法规定，构成犯罪的，依法追究刑事责任。</w:t>
            </w:r>
          </w:p>
        </w:tc>
        <w:tc>
          <w:tcPr>
            <w:tcW w:w="76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业务二科</w:t>
            </w:r>
          </w:p>
        </w:tc>
        <w:tc>
          <w:tcPr>
            <w:tcW w:w="771" w:type="dxa"/>
            <w:tcBorders>
              <w:top w:val="nil"/>
              <w:left w:val="nil"/>
              <w:bottom w:val="single" w:color="auto" w:sz="4" w:space="0"/>
              <w:right w:val="single" w:color="auto" w:sz="4" w:space="0"/>
            </w:tcBorders>
            <w:shd w:val="clear" w:color="auto" w:fill="auto"/>
            <w:vAlign w:val="bottom"/>
          </w:tcPr>
          <w:p>
            <w:pPr>
              <w:widowControl/>
              <w:spacing w:line="560" w:lineRule="exact"/>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李焕成</w:t>
            </w:r>
          </w:p>
        </w:tc>
      </w:tr>
      <w:tr>
        <w:tblPrEx>
          <w:tblCellMar>
            <w:top w:w="0" w:type="dxa"/>
            <w:left w:w="108" w:type="dxa"/>
            <w:bottom w:w="0" w:type="dxa"/>
            <w:right w:w="108" w:type="dxa"/>
          </w:tblCellMar>
        </w:tblPrEx>
        <w:trPr>
          <w:trHeight w:val="49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w:t>
            </w:r>
          </w:p>
        </w:tc>
        <w:tc>
          <w:tcPr>
            <w:tcW w:w="124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对签订服务协议的医疗机构、零售药店的监督管理</w:t>
            </w:r>
          </w:p>
        </w:tc>
        <w:tc>
          <w:tcPr>
            <w:tcW w:w="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行政监督检查</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赤峰市医疗保障局</w:t>
            </w:r>
          </w:p>
        </w:tc>
        <w:tc>
          <w:tcPr>
            <w:tcW w:w="24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【法律】《中华人民共和国社会保险法》（2010年10月28日中华人民共和国主席令第三十五号，2018年12月29日中华人民共和国主席令第二十五号修正）第三十一条 社会保险经办机构根据管理服务的需要，可以与医疗机构、药品经营单位签订服务协议，规范医疗服务行为。第八十七条 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第八十八条 以欺诈、伪造证明材料或者其他手段骗取社会保险待遇的，由社会保险行政部门责令退回骗取的社会保险金，处骗取金额二倍以上五倍以下的罚款。              【行政法规】《内蒙古自治区城镇基本医疗保险条例》(2015年11月25日内蒙古自治区第十二届人民代表大会常务委员会公告第十五号)第四十九条 医疗保险经办机构和医疗机构、零售药店通过协商签订服务协议，明确双方的权利和义务，并按照协议对定点医疗机构和定点零售药店进行监督、管理。</w:t>
            </w:r>
          </w:p>
        </w:tc>
        <w:tc>
          <w:tcPr>
            <w:tcW w:w="35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 xml:space="preserve">1.告知责任：两定机构应按《资格证书》规定的时间，应由法人或负责人携带上年度（周期）运行情况，到发证机关进行年检。                                                                                                                                   2.限期整改责任：经办机构年度考核不合格或者逾期未进行年检的，进入整改期，整改期为1-6个月。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3.评估验收责任：整改期结束后，发证机关到两定机构现场评估验收，评估验收不得少于2人。                                            4.结果处理责任：对验收不合格或拒不整改以及连续两年度经办机构年度考核不合格的，发证机关取消其定点资格，被取消资格的两定机构，一年后方可重新申请定点资格。                                                                      5.法律法规规章规定应履行的其他责任。</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1.【法律】《中华人民共和国社会保险法》</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第八十九条 社会保险经办机构及其工作人员给社会保险基金造成损失的，依法承担赔偿责任；对直接负责的主管人员和其他直接责任人员依法给予处分。</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第九十三条  国家工作人员在社会保险管理、监督工作中滥用职权、玩忽职守、徇私舞弊的，依法给予处分。</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第九十四条　违反本法规定，构成犯罪的，依法追究刑事责任</w:t>
            </w:r>
          </w:p>
        </w:tc>
        <w:tc>
          <w:tcPr>
            <w:tcW w:w="76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业务二科</w:t>
            </w:r>
          </w:p>
        </w:tc>
        <w:tc>
          <w:tcPr>
            <w:tcW w:w="771" w:type="dxa"/>
            <w:tcBorders>
              <w:top w:val="nil"/>
              <w:left w:val="nil"/>
              <w:bottom w:val="single" w:color="auto" w:sz="4" w:space="0"/>
              <w:right w:val="single" w:color="auto" w:sz="4" w:space="0"/>
            </w:tcBorders>
            <w:shd w:val="clear" w:color="auto" w:fill="auto"/>
            <w:vAlign w:val="bottom"/>
          </w:tcPr>
          <w:p>
            <w:pPr>
              <w:widowControl/>
              <w:spacing w:line="560" w:lineRule="exact"/>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李焕成</w:t>
            </w:r>
          </w:p>
        </w:tc>
      </w:tr>
      <w:tr>
        <w:tblPrEx>
          <w:tblCellMar>
            <w:top w:w="0" w:type="dxa"/>
            <w:left w:w="108" w:type="dxa"/>
            <w:bottom w:w="0" w:type="dxa"/>
            <w:right w:w="108" w:type="dxa"/>
          </w:tblCellMar>
        </w:tblPrEx>
        <w:trPr>
          <w:trHeight w:val="49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12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对骗取医疗保障基金的行政处罚</w:t>
            </w:r>
          </w:p>
        </w:tc>
        <w:tc>
          <w:tcPr>
            <w:tcW w:w="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行政</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处罚</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赤峰市医疗保障局</w:t>
            </w:r>
          </w:p>
        </w:tc>
        <w:tc>
          <w:tcPr>
            <w:tcW w:w="24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【法律】《中华人民共和国社会保险法》（2010年10月28日中华人民共和国主席令第三十五号，2018年12月29日中华人民共和国主席令第二十五号修正）第八十七条 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第八十八条 以欺诈、伪造证明材料或者其他手段骗取社会保险待遇的，由社会保险行政部门责令退回骗取的社会保险金，处骗取金额二倍以上五倍以下的罚款。                 【行政法规】《内蒙古自治区城镇基本医疗保险条例》(2015年11月25日内蒙古自治区第十二届人民代表大会常务委员会公告第十五号)第五十四条 定点医疗机构、定点零售药店以欺诈、伪造证明材料或者其他手段骗取医疗保险基金的，由医疗保险行政部门责令退回骗取的医疗保险金，处以骗取金额二倍以上五倍以下的罚款。</w:t>
            </w:r>
          </w:p>
        </w:tc>
        <w:tc>
          <w:tcPr>
            <w:tcW w:w="35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1.立案责任：①劳动保障行政部门认为用人单位有违反劳动保障法律、法规或者规章的行为，需要进行调查处理的，应当及时立案。②对于发现扣押劳动者居民身份证等证件、以担保或者其他名义向劳动者收取财物的违法行为，予以审查，决定是否立案。劳动保障行政部门接到举报、投诉的案件，填写《举报、投诉案件登记表》。</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2.调查（检查）责任：①对立案的案件，指定专人负责，及时组织调查取证；②劳动保障监察员进行调查、检查，不得少于２人，并应当佩戴劳动保障监察标志、出示劳动保障监察证件。告知被检查单位监察的内容、要求和方式；就调查事项制作笔录，应当由劳动保障监察员和被调查人（或者其委托代理人）签名或者盖章。被调查人拒不签名、盖章的，应当注明拒签情况。③劳动保障监察员办理的劳动保障监察事项与本人或者其近亲属有直接利害关系的，应当回避。④对违反劳动保障法律、法规或者规章的行为作出行政处罚或者行政处理决定前，应当听取用人单位的陈述、申辩的理由作出行政处罚或者行政处理决定，应当告知用人单位依法享有申请行政复议或者提起行政诉讼的权利。</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3.审查责任：审查案件调查报告，对案件违法事实、证据、调查取证程序、法律适用、处罚种类和幅度、当事人陈述和申辩理由等方面进行审查，提出处理意见（主要证据不足时，以适当方式补充调查）。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4.告知责任:①作出行政处罚决定前，应制作《行政处罚通知书》送达当事人，告知违法事实及其享有的陈述、申辩等权利。②符合听证规定的，即对个体工商组织或个人处罚两千元以上的必须告知听证权利，对企业等组织处罚在三万以上的必须告知听证权利；制作并送达《行政处罚听证告知书》。</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5.听取意见责任：行政机关必须充分听取当事人的意见，对当事人提出的事实、理由和证据，应当进行复核，当事人提出的事实、理由或者证据成立的，行政机关应当采纳。行政机关不得因当事人申辩而加重处罚。</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6.决策责任：作出重大行政处罚的，依照相关规定进行集体讨论，作出具体处罚内容的决策，并制作《劳动监察行政集体讨论笔录》。</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7.决定责任：①对依法应当受到行政处罚的，依法作出行政处罚决定，并制作《劳动监察行政处罚决定书》；②对应当改正未改正的，依法责令改正或者作出相应的行政处理决定；③对情节轻微且已改正的，撤销立案。④发现违法案件不属于劳动保障监察事项的，应当及时移送有关部门处理；涉嫌犯罪的，应当依法移送司法机关。</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8.送达责任：行政处罚决定书按《民事诉讼法》规定的送达方式送达当事人。</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9.执行责任：①依照生效的行政处罚决定，向人民法院申请执行没收违法所得、罚款等处罚项目。②劳动保障行政部门应当建立用人单位劳动保障守法诚信档案。用人单位有重大违反劳动保障法律、法规或者规章的行为的，由有关的劳动保障行政部门向社会公布。③行政机关及其执法人员当场收缴罚款的，必须向当事人出具省、自治区、直辖市财政部门统一制发的罚款收据；不出具财政部门统一制发的罚款收据的，当事人有权拒绝缴纳罚款。④除依法应当予以销毁的物品外，依法没收的非法财物必须按照国家规定公开拍卖或者按照国家有关规定处理。 罚款、没收违法所得或者没收非法财物拍卖的款项，必须全部上缴国库，任何行政机关或者个人不得以任何形式截留、私分或者变相私分；财政部门不得以任何形式向作出行政处罚决定的行政机关返还罚款、没收的违法所得或者返还没收非法财物的拍卖款项。</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10.其他法律法规规章规定应履行的责任。</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1.【法律】《中华人民共和国社会保险法》</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第九十三条　国家工作人员在社会保险管理、监督工作中滥用职权、玩忽职守、徇私舞弊的，依法给予处分。</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2.【法律】《中华人民共和国劳动法》（１９９４年７月５日第八届全国人民代表大会常务委员会第八次会议通过，１９９４年７月５日中华人民共和国主席令第二十八号公布，自１９９５年１月１日起施行。根据２００９年８月２７日中华人民共和国主席令第十八号《全国人民代表大会常务委员会关于修改部分法律的决定》修正。）</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第一百零三条　劳动行政部门或者有关部门的工作人员滥用职权、玩忽职守、徇私舞弊，构成犯罪的，依法追究刑事责任；不构成犯罪的，给予行政处分。</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3.【法律】《中华人民共和国劳动合同法》（２００７年６月２９日第十届全国人民代表大会常务委员会第二十八次会议通过，２００７年６月２９日中华人民共和国主席令第六十五号公布，自２００８年１月１日起施行。根据２０１２年１２月２８日中华人民共和国主席令第七十三号《关于修改〈中华人民共和国劳动合同法〉的决定》修正）</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第九十五条　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4.【行政法规】《劳动保障监察条例》（２００４年１０月２６日国务院第６８次常务会议通过，自２００４年１２月１日起施行）</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第三十一条　劳动保障监察员滥用职权、玩忽职守、徇私舞弊或者泄露在履行职责过程中知悉的商业秘密的，依法给予行政处分；构成犯罪的，依法追究刑事责任。</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5.【地方性法规】《内蒙古自治区劳动保障监察条例》 （２０１０年３月２５日内蒙古自治区第十一届人民代表大会常务委员会第十三次会议通过，２０１０年３月２５日内蒙古自治区第十一届人民代表大会常务委员会公告第十五号公布，自２０１０年５月１日起施行。）</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第二十七条  劳动保障监察工作人员有下列行为之一的，由有关部门对直接负责的主管人员和其他直接责任人员依法给予行政处分；构成犯罪的，依法追究刑事责任：</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（一）不依法履行工作职责，造成重大违法案件发生的；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（二）不依法受理对劳动保障违法行为的举报、投诉或者拖延、拒绝处理案件，损害当事人合法权益的；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（三）泄露在履行职责过程中知悉的商业秘密的；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（四）泄露案情或者举报者，造成不良后果的；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（五）利用职权干扰用人单位正常生产经营的；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（六）有其他滥用职权、玩忽职守、徇私舞弊行为的。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劳动保障行政部门和劳动保障监察工作人员违法行使职权，侵犯用人单位或者劳动者的合法权益的，依法承担赔偿责任。</w:t>
            </w:r>
          </w:p>
        </w:tc>
        <w:tc>
          <w:tcPr>
            <w:tcW w:w="76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业务二科</w:t>
            </w:r>
          </w:p>
        </w:tc>
        <w:tc>
          <w:tcPr>
            <w:tcW w:w="771" w:type="dxa"/>
            <w:tcBorders>
              <w:top w:val="nil"/>
              <w:left w:val="nil"/>
              <w:bottom w:val="single" w:color="auto" w:sz="4" w:space="0"/>
              <w:right w:val="single" w:color="auto" w:sz="4" w:space="0"/>
            </w:tcBorders>
            <w:shd w:val="clear" w:color="auto" w:fill="auto"/>
            <w:vAlign w:val="bottom"/>
          </w:tcPr>
          <w:p>
            <w:pPr>
              <w:widowControl/>
              <w:spacing w:line="560" w:lineRule="exact"/>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李焕成</w:t>
            </w:r>
          </w:p>
        </w:tc>
      </w:tr>
      <w:tr>
        <w:tblPrEx>
          <w:tblCellMar>
            <w:top w:w="0" w:type="dxa"/>
            <w:left w:w="108" w:type="dxa"/>
            <w:bottom w:w="0" w:type="dxa"/>
            <w:right w:w="108" w:type="dxa"/>
          </w:tblCellMar>
        </w:tblPrEx>
        <w:trPr>
          <w:trHeight w:val="49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val="en-US" w:eastAsia="zh-CN"/>
              </w:rPr>
              <w:t>6</w:t>
            </w:r>
          </w:p>
        </w:tc>
        <w:tc>
          <w:tcPr>
            <w:tcW w:w="12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对用人单位不办理医疗保险登记的行政处罚</w:t>
            </w:r>
          </w:p>
        </w:tc>
        <w:tc>
          <w:tcPr>
            <w:tcW w:w="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行政</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处罚</w:t>
            </w:r>
          </w:p>
        </w:tc>
        <w:tc>
          <w:tcPr>
            <w:tcW w:w="114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kern w:val="0"/>
                <w:sz w:val="21"/>
                <w:szCs w:val="21"/>
              </w:rPr>
            </w:pPr>
          </w:p>
        </w:tc>
        <w:tc>
          <w:tcPr>
            <w:tcW w:w="24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【法律】《中华人民共和国社会保险法》 （2010年10月28日中华人民共和国主席令第三十五号，2018年12月29日中华人民共和国主席令第二十五号修正）第八十四条 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第八十六条  用人单位未按时足额缴纳社会保险费的，由社会保险费征收机构责令限期缴纳或者补足，并自欠缴之日起，按日加收万分之五的滞纳金；逾期仍不缴纳的，由有关行政部门处欠缴数额一倍以上三倍以下的罚款。   【行政法规】《内蒙古自治区城镇基本医疗保险条例》(2015年11月25日内蒙古自治区第十二届人民代表大会常务委员会公告第十五号)第五十五条 用人单位未为其职工参加职工基本医疗保险的，由医疗保险行政部门责令限期参保;逾期不参保的，对用人单位处应缴基本医疗保险保险费数额一倍以上三倍以下的罚款，对其直接负责的主管人员和其他直接责任人员处500元以上3000元以下的罚款。【部门规章】《社会保险费征缴监督检查办法》（1999年3月19日中华人民共和国劳动和社会保障部令第3号）第十二条　缴费单位有下列行为之一，情节严重的，对直接负责的主管人员和其他直接责任人员处以1000元以上5000元以下的罚款；情节特别严重的，对直接负责的主管人员和其他直接责任人员处以5000元以上10000元以下的罚款：（一）未按规定办理社会保险登记的；（二）在社会保险登记事项发生变更或者缴费单位依法终止后，未按规定到社会保险经办机构办理社会保险变更登记或者社会保险注销登记的；（三）未按规定申报应当缴纳社会保险费数额的。</w:t>
            </w:r>
          </w:p>
        </w:tc>
        <w:tc>
          <w:tcPr>
            <w:tcW w:w="35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1.立案责任：①发现用人单位不办理社会保险登记的，有违反社会保险法律、法规或者规章的行为，需要进行调查处理的，应当及时立案。②依法受理检查发现及举报、投诉或以其他途径移送的违法案件。③对符合立案条件的应予立案；对不符合受理条件的作出不予立案的决定，并告知举报投诉者不予立案的理由。</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2.调查责任：①对立案的案件，指定专人负责，及时组织调查取证；②行政执法人员进行调查、检查时，不得少于２人，并出示自治区人民政府统一制发的行政执法证件并记录在案。告知被检查单位监察的内容、要求和方式；就调查事项制作笔录，应当由行政执法人员和被调查人（或者其委托代理人）签名或者盖章。被调查人拒不签名、盖章的，应当注明拒签情况。③行政执法人员与本人或者其近亲属有直接利害关系的，应当回避。④对违反社会保险法律、法规或者规章的行为作出行政处罚或者行政处理决定前，应当听取用人单位的陈述、申辩；作出行政处罚或者行政处理决定，应当告知用人单位依法享有申请行政复议或者提起行政诉讼的权利。⑤执法人员在调查取证过程中应保守有关秘密。</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3.审查责任：①审查案件调查报告，对案件违法事实、证据、调查取证程序、法律适用、处罚种类和幅度、当事人陈述和申辩理由等方面进行审查，提出处理意见；②主要证据不足时，以适当方式补充调查。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4.告知责任:作出行政处罚决定前，应制作《行政处罚通知书》送达当事人，告知违法事实及其享有的陈述、申辩等权利。</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5.听取意见责任：行政机关必须充分听取当事人的意见，对当事人提出的事实、理由和证据，应当进行复核，当事人提出的事实、理由或者证据成立的，行政机关应当采纳。行政机关不得因当事人申辩而加重处罚。</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6.决定责任：①对依法应当受到行政处罚的，依法作出行政处罚决定，并制作《行政处罚决定书》；②对应当改正未改正的，依法责令改正或者作出相应的行政处理决定；③对情节轻微且已改正的，撤销立案。④发现违法案件不属于社会保险监督事项的，应当及时移送有关部门处理；涉嫌犯罪的，应当依法移送司法机关。</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7.送达责任：行政处罚决定书按《民事诉讼法》规定的送达方式送达当事人。</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8.执行责任：①依照生效的行政处罚决定，对用人单位及直接负责的主管人员和其他直接责任人员按规定处以相应罚款。②当事人在法定期限内不申请复议不起诉，又不履行处罚决定的，申请人民法院强制执行。</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9.其他法律法规规章规定应履行的责任。</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1.【法律】《中华人民共和国社会保险法》（《中华人民共和国社会保险法》已由中华人民共和国第十一届全国人民代表大会常务委员会第十七次会议于２０１０年１０月２８日通过，现予公布，自２０１１年７月１日起施行。）</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第九十三条　国家工作人员在社会保险管理、监督工作中滥用职权、玩忽职守、徇私舞弊的，依法给予处分。</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2.【部门规章】《社会保险费征缴监督检查办法》（1999年3月19日劳动和社会保障部令第3号发布）</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第二十条　劳动保障行政部门和社会保险经办机构的工作人员滥用职权、徇私舞弊、玩忽职守，构成犯罪的，追究刑事责任；尚不构成犯罪的，给予责任人员行政处分。</w:t>
            </w:r>
          </w:p>
        </w:tc>
        <w:tc>
          <w:tcPr>
            <w:tcW w:w="76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业务二科</w:t>
            </w:r>
            <w:r>
              <w:rPr>
                <w:rFonts w:hint="eastAsia" w:ascii="仿宋_GB2312" w:hAnsi="仿宋_GB2312" w:eastAsia="仿宋_GB2312" w:cs="仿宋_GB2312"/>
                <w:color w:val="000000"/>
                <w:kern w:val="0"/>
                <w:sz w:val="21"/>
                <w:szCs w:val="21"/>
              </w:rPr>
              <w:t>　</w:t>
            </w:r>
          </w:p>
        </w:tc>
        <w:tc>
          <w:tcPr>
            <w:tcW w:w="771" w:type="dxa"/>
            <w:tcBorders>
              <w:top w:val="nil"/>
              <w:left w:val="nil"/>
              <w:bottom w:val="single" w:color="auto" w:sz="4" w:space="0"/>
              <w:right w:val="single" w:color="auto" w:sz="4" w:space="0"/>
            </w:tcBorders>
            <w:shd w:val="clear" w:color="auto" w:fill="auto"/>
            <w:vAlign w:val="bottom"/>
          </w:tcPr>
          <w:p>
            <w:pPr>
              <w:widowControl/>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李焕成</w:t>
            </w: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49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7</w:t>
            </w:r>
          </w:p>
        </w:tc>
        <w:tc>
          <w:tcPr>
            <w:tcW w:w="12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对举报违法行为的奖励</w:t>
            </w:r>
          </w:p>
        </w:tc>
        <w:tc>
          <w:tcPr>
            <w:tcW w:w="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行政</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奖励</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赤峰市医疗保障局</w:t>
            </w:r>
          </w:p>
        </w:tc>
        <w:tc>
          <w:tcPr>
            <w:tcW w:w="24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【法律法规】《劳动保障监察条例》（2004年11月1日中华人民共和国国务院令第423号公布）第九条第三款 劳动保障行政部门应当为举报人保密；对举报属实，为查处重大违反劳动保障法律、法规或者规章的行为提供主要线索和证据的举报人，给予奖励。                                                                                【法律法规】《内蒙古自治区劳动保障监察条例》（2010年3月25日内蒙古自治区第十一届人民代表大会常务委员会公告第15号公布）第七条 任何组织或者个人对违反劳动保障法律、法规或者国家其他有关规定的行为，有权向劳动保障行政部门举报。劳动保障行政部门应当为举报人保密；对举报属实，为查处重大违反劳动保障法律、法规或者国家其他有关规定的行为提供主要线索和证据的举报人，给予奖励。</w:t>
            </w:r>
          </w:p>
        </w:tc>
        <w:tc>
          <w:tcPr>
            <w:tcW w:w="35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1.立案责任：①任何组织或个人对违反劳动保障法律的行为，有权向劳动和社会保障行政部门举报。②对有明确的投诉单位、属于劳动监察的事项并由受理投诉的劳动保障行政部门管辖、违法行为自发生之日起未满两年的符合受理条件的投诉，应在5个工作日依法受理，并于受理之日立案查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2.审批责任：结案后10个工作日内，符和奖励条件的，由案件承办机构提出奖励金额和奖励对象，填写奖励申请表，报人社部门审批。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3.发放责任：审批后5个工作日通知举报人，自通知后一个月内由案件承办机构发放奖金。</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4.事后监管责任：① 对被检查单位履行行政处罚决定情况、限期整改情况进行定期检查，重点检查相对人整改方案落实情况。② 建立健全监督管理的长效机制。③对奖金发放情况进行核查。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5.法律法规规章规定应履行的其他责任。</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1.【法律】《中华人民共和国劳动法（２００９年）》（２００９年８月２７日中华人民共和国主席令第十八号《全国人民代表大会常务委员会关于修改部分法律的决定》修正）</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第一百零三条  劳动行政部门或者有关部门的工作人员滥用职权、玩忽职守、徇私舞弊，构成犯罪的，依法追究刑事责任；不构成犯罪的，给予行政处分。</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2.【行政法规】《劳动保障监察条例》</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第三十一条  劳动保障监察员滥用职权、玩忽职守、徇私舞弊或者泄露在履行职责过程中知悉的商业秘密的，依法给予行政处分；构成犯罪的，依法追究刑事责任。</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3.【地方性法规】《内蒙古自治区劳动保障监察条例》</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第二十七条  劳动保障监察工作人员有下列行为之一的，由有关部门对直接负责的主管人员和其他直接责任人员依法给予行政处分；构成犯罪的，依法追究刑事责任：(一)不依法履行工作职责，造成重大违法案件发生的；(二)不依法受理对劳动保障违法行为的举报、投诉或者拖延、拒绝处理案件，损害当事人合法权益的；(三)泄露在履行职责过程中知悉的商业秘密的；(四)泄露案情或者举报者，造成不良后果的；（五)利用职权干扰用人单位正常生产经营的；(六)有其他滥用职权、玩忽职守、徇私舞弊行为的。劳动保障行政部门和劳动保障监察工作人员违法行使职权，侵犯用人单位或者劳动者的合法权益的，依法承担赔偿责任。</w:t>
            </w:r>
          </w:p>
        </w:tc>
        <w:tc>
          <w:tcPr>
            <w:tcW w:w="76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业务二科</w:t>
            </w:r>
          </w:p>
        </w:tc>
        <w:tc>
          <w:tcPr>
            <w:tcW w:w="771" w:type="dxa"/>
            <w:tcBorders>
              <w:top w:val="nil"/>
              <w:left w:val="nil"/>
              <w:bottom w:val="single" w:color="auto" w:sz="4" w:space="0"/>
              <w:right w:val="single" w:color="auto" w:sz="4" w:space="0"/>
            </w:tcBorders>
            <w:shd w:val="clear" w:color="auto" w:fill="auto"/>
            <w:vAlign w:val="bottom"/>
          </w:tcPr>
          <w:p>
            <w:pPr>
              <w:widowControl/>
              <w:spacing w:line="560" w:lineRule="exact"/>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李焕成</w:t>
            </w:r>
          </w:p>
        </w:tc>
      </w:tr>
      <w:tr>
        <w:tblPrEx>
          <w:tblCellMar>
            <w:top w:w="0" w:type="dxa"/>
            <w:left w:w="108" w:type="dxa"/>
            <w:bottom w:w="0" w:type="dxa"/>
            <w:right w:w="108" w:type="dxa"/>
          </w:tblCellMar>
        </w:tblPrEx>
        <w:trPr>
          <w:trHeight w:val="49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8</w:t>
            </w:r>
          </w:p>
        </w:tc>
        <w:tc>
          <w:tcPr>
            <w:tcW w:w="12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公立医疗机构提供的医疗服务项目核准定价</w:t>
            </w:r>
          </w:p>
        </w:tc>
        <w:tc>
          <w:tcPr>
            <w:tcW w:w="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其他（备案）</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赤峰市医疗保障局</w:t>
            </w:r>
          </w:p>
        </w:tc>
        <w:tc>
          <w:tcPr>
            <w:tcW w:w="24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法律】《中华人民共和国价格法》（1997年12月29日中华人民共和国主席令第92号）第十八条下列商品和服务，政府在必要时可以实行政府指导价或者政府定价。（一）与国民经济发展和人民生活关系重大的极少数商品价格；（二）资源稀缺的少数商品价格；（三）自然垄断经营的商品价格；（四）重要的公共事业价格；（五）重要的公益性服务价格。第二十条：国务院价格主管部门和其他有关部门，按照中央定价目录规定的定价权限和具体适用范围制定政府指导价、政府定价；其中重要的商品和服务价格的政府指导价、政府定价，应当按照规定经国务院批准。省、自治区、直辖市人民政府价格主管部门和其他有关部门，应当按照地方定价目录规定的定价权限和具体适用范围制定在本地区执行的政府指导价、政府定价</w:t>
            </w:r>
          </w:p>
        </w:tc>
        <w:tc>
          <w:tcPr>
            <w:tcW w:w="35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1.受理责任：初步审核医疗机构提供的申报材料，一次性告知补正材料；依法受理或不予受理（不予受理告知退回理由）。</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2.审查责任：按规定程序对申报材料进行审核，提出意见。</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3.决定责任：制定公布核准结果。</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4.送达责任：送达核准文件。</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5.事后监管责任：对相关资料进行整理归档，对项目价格执行情况进行监督。</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6.其他法律法规规章文件规定应履行的责任。</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《中华人民共和国社会保险法》第九十三条　国家工作人员在社会保险管理、监督工作中滥用职权、玩忽职守、徇私舞弊的，依法给予处分。</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《社会保险基金行政监督办法》第十六条 监督人员滥用职权、徇私舞弊、玩忽职守的，由劳动保障行政部门给予行政处分；构成犯罪的，由司法机关依法追究刑事责任。</w:t>
            </w:r>
          </w:p>
        </w:tc>
        <w:tc>
          <w:tcPr>
            <w:tcW w:w="76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eastAsia" w:ascii="仿宋_GB2312" w:hAnsi="仿宋_GB2312" w:eastAsia="仿宋_GB2312" w:cs="仿宋_GB2312"/>
                <w:color w:val="000000"/>
                <w:kern w:val="0"/>
                <w:sz w:val="21"/>
                <w:szCs w:val="21"/>
              </w:rPr>
            </w:pPr>
          </w:p>
        </w:tc>
        <w:tc>
          <w:tcPr>
            <w:tcW w:w="771" w:type="dxa"/>
            <w:tcBorders>
              <w:top w:val="nil"/>
              <w:left w:val="nil"/>
              <w:bottom w:val="single" w:color="auto" w:sz="4" w:space="0"/>
              <w:right w:val="single" w:color="auto" w:sz="4" w:space="0"/>
            </w:tcBorders>
            <w:shd w:val="clear" w:color="auto" w:fill="auto"/>
            <w:vAlign w:val="bottom"/>
          </w:tcPr>
          <w:p>
            <w:pPr>
              <w:widowControl/>
              <w:spacing w:line="560" w:lineRule="exact"/>
              <w:jc w:val="center"/>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trHeight w:val="495"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spacing w:line="560" w:lineRule="exact"/>
              <w:jc w:val="center"/>
              <w:rPr>
                <w:rFonts w:hint="eastAsia" w:ascii="仿宋_GB2312" w:hAnsi="仿宋_GB2312" w:eastAsia="仿宋_GB2312" w:cs="仿宋_GB2312"/>
                <w:color w:val="000000"/>
                <w:kern w:val="0"/>
                <w:sz w:val="21"/>
                <w:szCs w:val="21"/>
                <w:lang w:eastAsia="zh-CN"/>
              </w:rPr>
            </w:pPr>
          </w:p>
        </w:tc>
        <w:tc>
          <w:tcPr>
            <w:tcW w:w="124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p>
        </w:tc>
        <w:tc>
          <w:tcPr>
            <w:tcW w:w="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p>
        </w:tc>
        <w:tc>
          <w:tcPr>
            <w:tcW w:w="11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p>
        </w:tc>
        <w:tc>
          <w:tcPr>
            <w:tcW w:w="24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p>
        </w:tc>
        <w:tc>
          <w:tcPr>
            <w:tcW w:w="35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p>
        </w:tc>
        <w:tc>
          <w:tcPr>
            <w:tcW w:w="284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1"/>
                <w:szCs w:val="21"/>
              </w:rPr>
            </w:pPr>
          </w:p>
        </w:tc>
        <w:tc>
          <w:tcPr>
            <w:tcW w:w="760"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仿宋_GB2312" w:hAnsi="仿宋_GB2312" w:eastAsia="仿宋_GB2312" w:cs="仿宋_GB2312"/>
                <w:color w:val="000000"/>
                <w:kern w:val="0"/>
                <w:sz w:val="21"/>
                <w:szCs w:val="21"/>
              </w:rPr>
            </w:pPr>
          </w:p>
        </w:tc>
        <w:tc>
          <w:tcPr>
            <w:tcW w:w="771" w:type="dxa"/>
            <w:tcBorders>
              <w:top w:val="nil"/>
              <w:left w:val="nil"/>
              <w:bottom w:val="single" w:color="auto" w:sz="4" w:space="0"/>
              <w:right w:val="single" w:color="auto" w:sz="4" w:space="0"/>
            </w:tcBorders>
            <w:shd w:val="clear" w:color="auto" w:fill="auto"/>
            <w:noWrap/>
            <w:vAlign w:val="bottom"/>
          </w:tcPr>
          <w:p>
            <w:pPr>
              <w:widowControl/>
              <w:spacing w:line="560" w:lineRule="exact"/>
              <w:jc w:val="both"/>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trHeight w:val="972" w:hRule="atLeast"/>
        </w:trPr>
        <w:tc>
          <w:tcPr>
            <w:tcW w:w="14200" w:type="dxa"/>
            <w:gridSpan w:val="9"/>
            <w:tcBorders>
              <w:top w:val="single" w:color="auto" w:sz="4" w:space="0"/>
              <w:left w:val="nil"/>
              <w:bottom w:val="nil"/>
              <w:right w:val="nil"/>
            </w:tcBorders>
            <w:shd w:val="clear" w:color="auto" w:fill="auto"/>
            <w:vAlign w:val="center"/>
          </w:tcPr>
          <w:p>
            <w:pPr>
              <w:widowControl/>
              <w:spacing w:line="560" w:lineRule="exact"/>
              <w:ind w:firstLine="420" w:firstLineChars="200"/>
              <w:jc w:val="left"/>
              <w:rPr>
                <w:rFonts w:hint="eastAsia" w:ascii="仿宋_GB2312" w:hAnsi="仿宋_GB2312" w:eastAsia="仿宋_GB2312" w:cs="仿宋_GB2312"/>
                <w:bCs/>
                <w:color w:val="000000"/>
                <w:kern w:val="0"/>
                <w:sz w:val="21"/>
                <w:szCs w:val="21"/>
              </w:rPr>
            </w:pPr>
          </w:p>
        </w:tc>
      </w:tr>
    </w:tbl>
    <w:p>
      <w:pPr>
        <w:spacing w:line="560" w:lineRule="exact"/>
        <w:ind w:firstLine="480" w:firstLineChars="150"/>
        <w:rPr>
          <w:rFonts w:ascii="仿宋_GB2312" w:eastAsia="仿宋_GB2312"/>
          <w:sz w:val="32"/>
          <w:szCs w:val="32"/>
        </w:rPr>
        <w:sectPr>
          <w:pgSz w:w="16838" w:h="11906" w:orient="landscape"/>
          <w:pgMar w:top="1800" w:right="1440" w:bottom="1800" w:left="1440" w:header="851" w:footer="992" w:gutter="0"/>
          <w:pgNumType w:fmt="numberInDash"/>
          <w:cols w:space="720" w:num="1"/>
          <w:docGrid w:type="lines" w:linePitch="312" w:charSpace="0"/>
        </w:sectPr>
      </w:pPr>
      <w:r>
        <w:rPr>
          <w:rFonts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-4734560</wp:posOffset>
                </wp:positionV>
                <wp:extent cx="1196340" cy="449580"/>
                <wp:effectExtent l="0" t="0" r="3810" b="7620"/>
                <wp:wrapNone/>
                <wp:docPr id="8" name="文本框 8"/>
                <wp:cNvGraphicFramePr/>
                <a:graphic xmlns:a="http://schemas.openxmlformats.org/drawingml/2006/main">
                  <a:graphicData uri="http://schemas.microsoft.com/office/word/2010/wordprocessingShape">
                    <wps:wsp>
                      <wps:cNvSpPr txBox="true"/>
                      <wps:spPr>
                        <a:xfrm>
                          <a:off x="0" y="0"/>
                          <a:ext cx="1196340" cy="4495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黑体" w:hAnsi="黑体" w:eastAsia="黑体"/>
                                <w:sz w:val="30"/>
                                <w:szCs w:val="30"/>
                              </w:rPr>
                            </w:pPr>
                            <w:r>
                              <w:rPr>
                                <w:rFonts w:hint="eastAsia" w:ascii="黑体" w:hAnsi="黑体" w:eastAsia="黑体"/>
                                <w:sz w:val="30"/>
                                <w:szCs w:val="30"/>
                              </w:rPr>
                              <w:t>附件1</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372.8pt;height:35.4pt;width:94.2pt;mso-position-horizontal:left;mso-position-horizontal-relative:margin;z-index:251659264;mso-width-relative:page;mso-height-relative:page;" fillcolor="#FFFFFF [3201]" filled="t" stroked="f" coordsize="21600,21600" o:gfxdata="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mJEzC9YAAAAK&#10;AQAADwAAAAAAAAABACAAAAA4AAAAZHJzL2Rvd25yZXYueG1sUEsBAhQAFAAAAAgAh07iQCNy70tB&#10;AgAAYQQAAA4AAAAAAAAAAQAgAAAAOwEAAGRycy9lMm9Eb2MueG1sUEsFBgAAAAAGAAYAWQEAAO4F&#10;AAAAAA==&#10;">
                <v:fill on="t" focussize="0,0"/>
                <v:stroke on="f" weight="0.5pt"/>
                <v:imagedata o:title=""/>
                <o:lock v:ext="edit" aspectratio="f"/>
                <v:textbox>
                  <w:txbxContent>
                    <w:p>
                      <w:pPr>
                        <w:rPr>
                          <w:rFonts w:ascii="黑体" w:hAnsi="黑体" w:eastAsia="黑体"/>
                          <w:sz w:val="30"/>
                          <w:szCs w:val="30"/>
                        </w:rPr>
                      </w:pPr>
                      <w:r>
                        <w:rPr>
                          <w:rFonts w:hint="eastAsia" w:ascii="黑体" w:hAnsi="黑体" w:eastAsia="黑体"/>
                          <w:sz w:val="30"/>
                          <w:szCs w:val="30"/>
                        </w:rPr>
                        <w:t>附件1</w:t>
                      </w:r>
                    </w:p>
                  </w:txbxContent>
                </v:textbox>
              </v:shape>
            </w:pict>
          </mc:Fallback>
        </mc:AlternateConten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Nimbus Roman No9 L"/>
    <w:panose1 w:val="020B0604020202020204"/>
    <w:charset w:val="00"/>
    <w:family w:val="swiss"/>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Microsoft yahei">
    <w:altName w:val="仿宋_GB2312"/>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791"/>
    <w:rsid w:val="00317DF5"/>
    <w:rsid w:val="006B7791"/>
    <w:rsid w:val="00DC6F71"/>
    <w:rsid w:val="DC7F7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175</Words>
  <Characters>998</Characters>
  <Lines>8</Lines>
  <Paragraphs>2</Paragraphs>
  <TotalTime>3</TotalTime>
  <ScaleCrop>false</ScaleCrop>
  <LinksUpToDate>false</LinksUpToDate>
  <CharactersWithSpaces>1171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2021-11-25T09:14:00Z</dcterms:created>
  <dc:creator>李光普(李光普:套红)</dc:creator>
  <cp:lastModifiedBy>ybj015</cp:lastModifiedBy>
  <dcterms:modified xsi:type="dcterms:W3CDTF">2021-12-14T10:44:43Z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