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80" w:lineRule="exact"/>
        <w:ind w:left="354" w:leftChars="-200" w:right="0" w:rightChars="0" w:hanging="774" w:hangingChars="242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auto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319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内蒙古自治区营商环境评估指标体系</w:t>
      </w:r>
    </w:p>
    <w:bookmarkEnd w:id="0"/>
    <w:tbl>
      <w:tblPr>
        <w:tblStyle w:val="3"/>
        <w:tblpPr w:leftFromText="180" w:rightFromText="180" w:vertAnchor="text" w:horzAnchor="page" w:tblpXSpec="center" w:tblpY="55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2295"/>
        <w:gridCol w:w="5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shd w:val="clear" w:color="auto" w:fill="auto"/>
              </w:rPr>
              <w:t>一、服务企业全生命周期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shd w:val="clear" w:color="auto" w:fill="auto"/>
              </w:rPr>
              <w:t>（一）开办企业</w:t>
            </w:r>
          </w:p>
        </w:tc>
        <w:tc>
          <w:tcPr>
            <w:tcW w:w="5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1.1开办企业环节；1.2开办企业耗时；1.3开办企业成本；1.4开办企业便利度；1.5企业注销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shd w:val="clear" w:color="auto" w:fill="auto"/>
              </w:rPr>
              <w:t>（二）办理建筑许可</w:t>
            </w:r>
          </w:p>
        </w:tc>
        <w:tc>
          <w:tcPr>
            <w:tcW w:w="5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2.1办理建筑许可环节；2.2办理建筑许可耗时；2.3办理建筑许可费用；2.4办理建筑许可建筑质量控制指数；2.5办理建筑许可便利度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shd w:val="clear" w:color="auto" w:fill="auto"/>
              </w:rPr>
              <w:t>（三）获得电力</w:t>
            </w:r>
          </w:p>
        </w:tc>
        <w:tc>
          <w:tcPr>
            <w:tcW w:w="5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3.1获得电力流程；3.2获得电力耗时；3.3获得电力费用；3.4供电可靠性和电费透明度指数；3.5获得电力便利度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shd w:val="clear" w:color="auto" w:fill="auto"/>
              </w:rPr>
              <w:t>（四）获得用水用气</w:t>
            </w:r>
          </w:p>
        </w:tc>
        <w:tc>
          <w:tcPr>
            <w:tcW w:w="5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4.1获得用水流程；4.2获得用水耗时；4.3获得用水费用；4.4获得用水价格；4.5获得用气流程；4.6获得用气耗时；4.7获得用气费用；4.8获得用气价格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shd w:val="clear" w:color="auto" w:fill="auto"/>
              </w:rPr>
              <w:t>（五）获得用暖</w:t>
            </w:r>
          </w:p>
        </w:tc>
        <w:tc>
          <w:tcPr>
            <w:tcW w:w="5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5.1获得用暖流程；5.2获得用暖耗时；5.3获得用暖费用；5.4获得用暖价格；5.5获得用暖便利度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shd w:val="clear" w:color="auto" w:fill="auto"/>
              </w:rPr>
              <w:t>（六）获得用网</w:t>
            </w:r>
          </w:p>
        </w:tc>
        <w:tc>
          <w:tcPr>
            <w:tcW w:w="5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6.1网络报装；6.2网络使用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shd w:val="clear" w:color="auto" w:fill="auto"/>
              </w:rPr>
              <w:t>（七）登记财产</w:t>
            </w:r>
          </w:p>
        </w:tc>
        <w:tc>
          <w:tcPr>
            <w:tcW w:w="5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7.1登记财产流程；7.2登记财产耗时；7.3登记财产费用；7.4土地管理质量指数；7.5登记财产便利度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shd w:val="clear" w:color="auto" w:fill="auto"/>
              </w:rPr>
              <w:t>（八）纳税</w:t>
            </w:r>
          </w:p>
        </w:tc>
        <w:tc>
          <w:tcPr>
            <w:tcW w:w="5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8.1纳税次数；8.2纳税时间；8.3总税收与缴费率；8.4报税后流程指数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shd w:val="clear" w:color="auto" w:fill="auto"/>
              </w:rPr>
              <w:t>（九）跨境贸易</w:t>
            </w:r>
          </w:p>
        </w:tc>
        <w:tc>
          <w:tcPr>
            <w:tcW w:w="5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9.1出口边境审核耗时、费用；9.2出口单证审核耗时、费用；9.3进口边境审核耗时、费用；9.4进口单证审核耗时、费用；9.5跨境贸易便利度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shd w:val="clear" w:color="auto" w:fill="auto"/>
              </w:rPr>
              <w:t>（十）办理破产</w:t>
            </w:r>
          </w:p>
        </w:tc>
        <w:tc>
          <w:tcPr>
            <w:tcW w:w="5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10.1收回债务所需时间；10.2收回债务所需成本；10.3债权人回收率；10.4破产法律框架质量指数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0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shd w:val="clear" w:color="auto" w:fill="auto"/>
              </w:rPr>
              <w:t>一、服务企业全生命周期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shd w:val="clear" w:color="auto" w:fill="auto"/>
              </w:rPr>
              <w:t>（十一）获得信贷</w:t>
            </w:r>
          </w:p>
        </w:tc>
        <w:tc>
          <w:tcPr>
            <w:tcW w:w="5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11.1合法权力度；11.2信用信息深度指数；11.3征信机构覆盖面；11.4企业融资便利度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shd w:val="clear" w:color="auto" w:fill="auto"/>
              </w:rPr>
              <w:t>（十二）执行合同</w:t>
            </w:r>
          </w:p>
        </w:tc>
        <w:tc>
          <w:tcPr>
            <w:tcW w:w="5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12.1解决商业纠纷耗时；12.2解决商业纠纷费用；12.3司法程序质量指数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shd w:val="clear" w:color="auto" w:fill="auto"/>
              </w:rPr>
              <w:t>（十三）保护中小投资者</w:t>
            </w:r>
          </w:p>
        </w:tc>
        <w:tc>
          <w:tcPr>
            <w:tcW w:w="5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13.1信息披露透明度；13.2董事责任指数；13.3诉讼便利度；13.4股东权利；13.5所有权和管理控制；13.6公司信息披露透明度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0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shd w:val="clear" w:color="auto" w:fill="auto"/>
              </w:rPr>
              <w:t>二、促进公平竞争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shd w:val="clear" w:color="auto" w:fill="auto"/>
              </w:rPr>
              <w:t>（十四）政府采购</w:t>
            </w:r>
          </w:p>
        </w:tc>
        <w:tc>
          <w:tcPr>
            <w:tcW w:w="5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14.1电子采购平台；14.2采购流程；14.3采购结果确定和合同签订；14.4合同管理；14.5支付和交付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shd w:val="clear" w:color="auto" w:fill="auto"/>
              </w:rPr>
              <w:t>（十五）招标投标</w:t>
            </w:r>
          </w:p>
        </w:tc>
        <w:tc>
          <w:tcPr>
            <w:tcW w:w="5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15.1互联网招标；15.2投标与保证；15.3外地企业中标率；15.4投诉质疑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shd w:val="clear" w:color="auto" w:fill="auto"/>
              </w:rPr>
              <w:t>三、体现公正监管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shd w:val="clear" w:color="auto" w:fill="auto"/>
              </w:rPr>
              <w:t>（十六）劳动力市场监管</w:t>
            </w:r>
          </w:p>
        </w:tc>
        <w:tc>
          <w:tcPr>
            <w:tcW w:w="5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16.1雇用情况、工作时间、裁员；16.2监管质量；16.3公共就业服务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shd w:val="clear" w:color="auto" w:fill="auto"/>
              </w:rPr>
              <w:t>（十七）市场监管</w:t>
            </w:r>
          </w:p>
        </w:tc>
        <w:tc>
          <w:tcPr>
            <w:tcW w:w="5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17.1“双随机、一公开”监管工作机制；17.2监管执法信息公开；17.3政务诚信；17.4商务诚信；17.5与国家“互联网+监管”系统数据共享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0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shd w:val="clear" w:color="auto" w:fill="auto"/>
              </w:rPr>
              <w:t>四、优化服务和创新创业环境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shd w:val="clear" w:color="auto" w:fill="auto"/>
              </w:rPr>
              <w:t>（十八）政务服务</w:t>
            </w:r>
          </w:p>
        </w:tc>
        <w:tc>
          <w:tcPr>
            <w:tcW w:w="5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18.1网上政务服务能力；18.2政务服务事项便利度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（“一网办、掌上办、一次办、帮您办”）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；18.3政务服务满意度；18.4与国家政务服务平台数据共享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shd w:val="clear" w:color="auto" w:fill="auto"/>
              </w:rPr>
              <w:t>（十九）知识产权保护、创造和运用</w:t>
            </w:r>
          </w:p>
        </w:tc>
        <w:tc>
          <w:tcPr>
            <w:tcW w:w="5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19.1知识产权制度体系；19.2知识产权创造质量和运用效益；19.3知识产权保护；19.4知识产权公共服务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shd w:val="clear" w:color="auto" w:fill="auto"/>
              </w:rPr>
              <w:t>（二十）包容普惠创新</w:t>
            </w:r>
          </w:p>
        </w:tc>
        <w:tc>
          <w:tcPr>
            <w:tcW w:w="5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20.1创新创业活跃度；20.2人才流动便利度；20.3市场开放程度；20.4基本公共服务群众满意度；20.5蓝天碧水净土森林覆盖指数；20.6综合立体交通指数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09C1"/>
    <w:rsid w:val="7CEF0C99"/>
    <w:rsid w:val="7EF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2021-07-05T19:46:00Z</dcterms:created>
  <dc:creator>thtf</dc:creator>
  <cp:lastModifiedBy>thtf</cp:lastModifiedBy>
  <dcterms:modified xsi:type="dcterms:W3CDTF">2021-07-05T11:49:49Z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