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1184910</wp:posOffset>
            </wp:positionH>
            <wp:positionV relativeFrom="page">
              <wp:posOffset>3047365</wp:posOffset>
            </wp:positionV>
            <wp:extent cx="5205730" cy="1419225"/>
            <wp:effectExtent l="0" t="0" r="6350" b="133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5205730" cy="141922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7"/>
        <w:tblW w:w="8832" w:type="dxa"/>
        <w:tblInd w:w="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8832"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赤政发〔2025〕3号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Times New Roman" w:hAnsi="Times New Roman"/>
          <w:b/>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ascii="Times New Roman" w:hAnsi="Times New Roman"/>
          <w:b/>
          <w:sz w:val="30"/>
          <w:szCs w:val="30"/>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rPr>
        <w:t>赤峰市人民政府关于禁止在</w:t>
      </w:r>
      <w:r>
        <w:rPr>
          <w:rFonts w:hint="eastAsia" w:ascii="方正小标宋简体" w:hAnsi="方正小标宋简体" w:eastAsia="方正小标宋简体" w:cs="方正小标宋简体"/>
          <w:b w:val="0"/>
          <w:bCs/>
          <w:sz w:val="44"/>
          <w:szCs w:val="44"/>
          <w:highlight w:val="none"/>
        </w:rPr>
        <w:t>大石门水库</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highlight w:val="none"/>
        </w:rPr>
        <w:t>东台子水库</w:t>
      </w:r>
      <w:r>
        <w:rPr>
          <w:rFonts w:hint="eastAsia" w:ascii="方正小标宋简体" w:hAnsi="方正小标宋简体" w:eastAsia="方正小标宋简体" w:cs="方正小标宋简体"/>
          <w:b w:val="0"/>
          <w:bCs/>
          <w:sz w:val="44"/>
          <w:szCs w:val="44"/>
        </w:rPr>
        <w:t>赤峰中心城区引供水工程建设</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范围内新增建设项目和迁入人口的通告</w:t>
      </w:r>
    </w:p>
    <w:p>
      <w:pPr>
        <w:keepNext w:val="0"/>
        <w:keepLines w:val="0"/>
        <w:pageBreakBefore w:val="0"/>
        <w:widowControl w:val="0"/>
        <w:kinsoku/>
        <w:wordWrap/>
        <w:overflowPunct/>
        <w:topLinePunct w:val="0"/>
        <w:autoSpaceDE/>
        <w:autoSpaceDN/>
        <w:bidi w:val="0"/>
        <w:spacing w:line="560" w:lineRule="exact"/>
        <w:jc w:val="both"/>
        <w:textAlignment w:val="auto"/>
        <w:rPr>
          <w:rFonts w:ascii="Times New Roman" w:hAnsi="Times New Roman" w:eastAsia="仿宋"/>
          <w:sz w:val="28"/>
          <w:szCs w:val="28"/>
        </w:rPr>
      </w:pP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翁牛特旗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红山区、松山区人民政府</w:t>
      </w:r>
      <w:r>
        <w:rPr>
          <w:rFonts w:hint="eastAsia" w:ascii="仿宋_GB2312" w:hAnsi="仿宋_GB2312" w:eastAsia="仿宋_GB2312" w:cs="仿宋_GB2312"/>
          <w:color w:val="auto"/>
          <w:sz w:val="32"/>
          <w:szCs w:val="32"/>
          <w:lang w:eastAsia="zh-CN"/>
        </w:rPr>
        <w:t>，市直</w:t>
      </w:r>
      <w:r>
        <w:rPr>
          <w:rFonts w:hint="eastAsia" w:ascii="仿宋_GB2312" w:hAnsi="仿宋_GB2312" w:eastAsia="仿宋_GB2312" w:cs="仿宋_GB2312"/>
          <w:color w:val="auto"/>
          <w:sz w:val="32"/>
          <w:szCs w:val="32"/>
        </w:rPr>
        <w:t>有关部门：</w:t>
      </w: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大石门水库东台子水库赤峰</w:t>
      </w:r>
      <w:bookmarkStart w:id="0" w:name="_GoBack"/>
      <w:bookmarkEnd w:id="0"/>
      <w:r>
        <w:rPr>
          <w:rFonts w:hint="eastAsia" w:ascii="仿宋_GB2312" w:hAnsi="仿宋_GB2312" w:eastAsia="仿宋_GB2312" w:cs="仿宋_GB2312"/>
          <w:sz w:val="32"/>
          <w:szCs w:val="32"/>
        </w:rPr>
        <w:t>中心城区引供水工程位于内蒙古自治区赤峰市境内，工程任务为工业用水</w:t>
      </w:r>
      <w:r>
        <w:rPr>
          <w:rFonts w:hint="eastAsia" w:ascii="仿宋_GB2312" w:hAnsi="仿宋_GB2312" w:eastAsia="仿宋_GB2312" w:cs="仿宋_GB2312"/>
          <w:sz w:val="32"/>
          <w:szCs w:val="32"/>
          <w:lang w:eastAsia="zh-CN"/>
        </w:rPr>
        <w:t>，取水水源</w:t>
      </w:r>
      <w:r>
        <w:rPr>
          <w:rFonts w:hint="eastAsia" w:ascii="仿宋_GB2312" w:hAnsi="仿宋_GB2312" w:eastAsia="仿宋_GB2312" w:cs="仿宋_GB2312"/>
          <w:sz w:val="32"/>
          <w:szCs w:val="32"/>
        </w:rPr>
        <w:t>为西拉木伦河上的大石门水库和东台子水库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两座水库</w:t>
      </w:r>
      <w:r>
        <w:rPr>
          <w:rFonts w:hint="eastAsia" w:ascii="仿宋_GB2312" w:hAnsi="仿宋_GB2312" w:eastAsia="仿宋_GB2312" w:cs="仿宋_GB2312"/>
          <w:sz w:val="32"/>
          <w:szCs w:val="32"/>
        </w:rPr>
        <w:t>联合调节向赤峰市中心城区调水，调水总量为5393万</w:t>
      </w:r>
      <w:r>
        <w:rPr>
          <w:rFonts w:hint="eastAsia" w:ascii="仿宋_GB2312" w:hAnsi="仿宋_GB2312" w:eastAsia="仿宋_GB2312" w:cs="仿宋_GB2312"/>
          <w:sz w:val="32"/>
          <w:szCs w:val="32"/>
          <w:lang w:eastAsia="zh-CN"/>
        </w:rPr>
        <w:t>立方米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现该项目为可行性研究报告阶段，为确保该项目建设征地和移民安置工作顺利开展，现将有关事项通告如下：</w:t>
      </w:r>
    </w:p>
    <w:p>
      <w:pPr>
        <w:keepNext w:val="0"/>
        <w:keepLines w:val="0"/>
        <w:pageBreakBefore w:val="0"/>
        <w:widowControl w:val="0"/>
        <w:tabs>
          <w:tab w:val="left" w:pos="3075"/>
        </w:tabs>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一、工程永久用地包括高位水池及其连接路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管道阀室及其管理范围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永久管理道路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输水明管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净水厂及其管理范围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污泥干化场及其管理范围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净水厂进厂及检修道路等。工程用地范围涉及翁牛特旗五分地镇、毛山东乡、乌丹镇、梧桐花镇、乌敦套海镇，松山区哈拉道口镇、太平地镇、安庆镇、夏家店乡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红山区红庙子镇。初步范围由沿线各级人民政府、设计单位明确，最终按批准的范围执行。</w:t>
      </w:r>
    </w:p>
    <w:p>
      <w:pPr>
        <w:keepNext w:val="0"/>
        <w:keepLines w:val="0"/>
        <w:pageBreakBefore w:val="0"/>
        <w:widowControl w:val="0"/>
        <w:tabs>
          <w:tab w:val="left" w:pos="3075"/>
        </w:tabs>
        <w:kinsoku/>
        <w:wordWrap/>
        <w:overflowPunct/>
        <w:topLinePunct w:val="0"/>
        <w:autoSpaceDE/>
        <w:autoSpaceDN/>
        <w:bidi w:val="0"/>
        <w:adjustRightInd w:val="0"/>
        <w:snapToGrid w:val="0"/>
        <w:spacing w:line="60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二、自本通告发布之日起，禁止任何单位、组织和个人在工程范围内新增（新建、扩建、改建）建设项目，不得</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抢开耕地、园地及抢栽多年生经济林木、新栽果木、植树造林等改变土地用途和影响工程建设的活动，违反上述规定的一律不予补偿。确因生产生活急需的临时性设施，须经县级人民政府和有关部门实际查勘审查同意后方能建设，但必须保证可按工程要求自行拆除，</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不予补偿。</w:t>
      </w:r>
    </w:p>
    <w:p>
      <w:pPr>
        <w:keepNext w:val="0"/>
        <w:keepLines w:val="0"/>
        <w:pageBreakBefore w:val="0"/>
        <w:widowControl w:val="0"/>
        <w:tabs>
          <w:tab w:val="left" w:pos="3075"/>
        </w:tabs>
        <w:kinsoku/>
        <w:wordWrap/>
        <w:overflowPunct/>
        <w:topLinePunct w:val="0"/>
        <w:autoSpaceDE/>
        <w:autoSpaceDN/>
        <w:bidi w:val="0"/>
        <w:adjustRightInd w:val="0"/>
        <w:snapToGrid w:val="0"/>
        <w:spacing w:line="60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本通告发布之日起，除按规定正常调动、婚嫁、新生儿出生、军人转业退伍、国家机关及事业单位招录（招聘）工作人员、大中专毕业生分配、刑满释放等国家政策允许人员迁入外，禁止其他人口迁入用地范围。违反规定擅自迁入的人口，一律不计入实物指标，不按移民对待，不负责安置，搬迁时不予补偿。</w:t>
      </w:r>
    </w:p>
    <w:p>
      <w:pPr>
        <w:keepNext w:val="0"/>
        <w:keepLines w:val="0"/>
        <w:pageBreakBefore w:val="0"/>
        <w:widowControl w:val="0"/>
        <w:tabs>
          <w:tab w:val="left" w:pos="3075"/>
        </w:tabs>
        <w:kinsoku/>
        <w:wordWrap/>
        <w:overflowPunct/>
        <w:topLinePunct w:val="0"/>
        <w:autoSpaceDE/>
        <w:autoSpaceDN/>
        <w:bidi w:val="0"/>
        <w:adjustRightInd w:val="0"/>
        <w:snapToGrid w:val="0"/>
        <w:spacing w:line="60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级政府和相关部门要支持大石门水库东台子水库赤峰中心城区引供水工程建设，为工程的顺利建设搞好服务。要向被征占地群众做好政策的宣传解释工作，引导群众正确处理好国家、集体、个人三者的关系，眼前利益服从长远利益，局部利益服从全局利益，顾全大局，为项目顺利实施创造良好条件。</w:t>
      </w:r>
    </w:p>
    <w:p>
      <w:pPr>
        <w:keepNext w:val="0"/>
        <w:keepLines w:val="0"/>
        <w:pageBreakBefore w:val="0"/>
        <w:widowControl w:val="0"/>
        <w:tabs>
          <w:tab w:val="left" w:pos="3075"/>
        </w:tabs>
        <w:kinsoku/>
        <w:wordWrap/>
        <w:overflowPunct/>
        <w:topLinePunct w:val="0"/>
        <w:autoSpaceDE/>
        <w:autoSpaceDN/>
        <w:bidi w:val="0"/>
        <w:adjustRightInd w:val="0"/>
        <w:snapToGrid w:val="0"/>
        <w:spacing w:line="560" w:lineRule="exact"/>
        <w:ind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本通告自发布之日起施行。</w:t>
      </w:r>
    </w:p>
    <w:p>
      <w:pPr>
        <w:keepNext w:val="0"/>
        <w:keepLines w:val="0"/>
        <w:pageBreakBefore w:val="0"/>
        <w:widowControl w:val="0"/>
        <w:tabs>
          <w:tab w:val="left" w:pos="3075"/>
        </w:tabs>
        <w:kinsoku/>
        <w:wordWrap/>
        <w:overflowPunct/>
        <w:topLinePunct w:val="0"/>
        <w:autoSpaceDE/>
        <w:autoSpaceDN/>
        <w:bidi w:val="0"/>
        <w:spacing w:line="560" w:lineRule="exact"/>
        <w:ind w:left="4730" w:leftChars="2342" w:firstLine="936" w:firstLineChars="3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3075"/>
        </w:tabs>
        <w:kinsoku/>
        <w:wordWrap/>
        <w:overflowPunct/>
        <w:topLinePunct w:val="0"/>
        <w:autoSpaceDE/>
        <w:autoSpaceDN/>
        <w:bidi w:val="0"/>
        <w:spacing w:line="560" w:lineRule="exact"/>
        <w:ind w:left="4730" w:leftChars="2342" w:firstLine="936" w:firstLineChars="3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3075"/>
        </w:tabs>
        <w:kinsoku/>
        <w:wordWrap/>
        <w:overflowPunct/>
        <w:topLinePunct w:val="0"/>
        <w:autoSpaceDE/>
        <w:autoSpaceDN/>
        <w:bidi w:val="0"/>
        <w:spacing w:line="560" w:lineRule="exact"/>
        <w:ind w:left="4730" w:leftChars="2342" w:firstLine="936" w:firstLineChars="300"/>
        <w:jc w:val="both"/>
        <w:textAlignment w:val="auto"/>
        <w:rPr>
          <w:rFonts w:hint="eastAsia" w:ascii="仿宋_GB2312" w:hAnsi="仿宋_GB2312" w:eastAsia="仿宋_GB2312" w:cs="仿宋_GB2312"/>
          <w:sz w:val="32"/>
          <w:szCs w:val="32"/>
        </w:rPr>
      </w:pPr>
    </w:p>
    <w:p>
      <w:pPr>
        <w:keepNext w:val="0"/>
        <w:keepLines w:val="0"/>
        <w:pageBreakBefore w:val="0"/>
        <w:widowControl w:val="0"/>
        <w:tabs>
          <w:tab w:val="left" w:pos="3075"/>
        </w:tabs>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赤峰市人民政府</w:t>
      </w:r>
    </w:p>
    <w:p>
      <w:pPr>
        <w:keepNext w:val="0"/>
        <w:keepLines w:val="0"/>
        <w:pageBreakBefore w:val="0"/>
        <w:widowControl w:val="0"/>
        <w:kinsoku/>
        <w:wordWrap/>
        <w:overflowPunct/>
        <w:topLinePunct w:val="0"/>
        <w:autoSpaceDE/>
        <w:autoSpaceDN/>
        <w:bidi w:val="0"/>
        <w:spacing w:line="560" w:lineRule="exact"/>
        <w:ind w:firstLine="40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spacing w:line="560" w:lineRule="exact"/>
        <w:ind w:firstLine="405"/>
        <w:jc w:val="both"/>
        <w:textAlignment w:val="auto"/>
        <w:rPr>
          <w:sz w:val="32"/>
          <w:szCs w:val="32"/>
        </w:rPr>
      </w:pPr>
      <w:r>
        <w:rPr>
          <w:rFonts w:hint="eastAsia" w:ascii="仿宋_GB2312" w:hAnsi="仿宋_GB2312" w:eastAsia="仿宋_GB2312" w:cs="仿宋_GB2312"/>
          <w:sz w:val="32"/>
          <w:szCs w:val="32"/>
          <w:lang w:eastAsia="zh-CN"/>
        </w:rPr>
        <w:t>（此件公开发布）</w:t>
      </w: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Pr>
        <w:rPr>
          <w:rFonts w:hint="eastAsia" w:ascii="仿宋_GB2312" w:hAnsi="仿宋_GB2312" w:eastAsia="仿宋_GB2312" w:cs="仿宋_GB2312"/>
          <w:color w:val="000000"/>
          <w:spacing w:val="11"/>
          <w:sz w:val="32"/>
          <w:szCs w:val="32"/>
          <w:shd w:val="clear" w:color="auto" w:fill="FFFFFF"/>
          <w:lang w:val="en-US" w:eastAsia="zh-CN"/>
        </w:rPr>
      </w:pPr>
    </w:p>
    <w:p/>
    <w:p/>
    <w:p/>
    <w:p/>
    <w:p/>
    <w:p/>
    <w:tbl>
      <w:tblPr>
        <w:tblStyle w:val="6"/>
        <w:tblpPr w:leftFromText="181" w:rightFromText="181" w:tblpXSpec="center" w:tblpYSpec="bottom"/>
        <w:tblOverlap w:val="never"/>
        <w:tblW w:w="8837"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510"/>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02"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510"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02"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2025年1月8日</w:t>
            </w:r>
            <w:r>
              <w:rPr>
                <w:rFonts w:hint="eastAsia" w:ascii="仿宋_GB2312" w:hAnsi="仿宋" w:eastAsia="仿宋_GB2312"/>
                <w:sz w:val="28"/>
                <w:szCs w:val="28"/>
              </w:rPr>
              <w:t>印发</w:t>
            </w:r>
          </w:p>
        </w:tc>
      </w:tr>
    </w:tbl>
    <w:p/>
    <w:p/>
    <w:sectPr>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formatting="1"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192c9a9d-5b7a-4b75-aa69-3479dff94aa9"/>
  </w:docVars>
  <w:rsids>
    <w:rsidRoot w:val="67DF1FD6"/>
    <w:rsid w:val="010073E9"/>
    <w:rsid w:val="03F070F9"/>
    <w:rsid w:val="0FBF8DD8"/>
    <w:rsid w:val="14F01574"/>
    <w:rsid w:val="1668710C"/>
    <w:rsid w:val="17DA7A45"/>
    <w:rsid w:val="1AAF069A"/>
    <w:rsid w:val="1E7F74DE"/>
    <w:rsid w:val="1F516B5B"/>
    <w:rsid w:val="200941DE"/>
    <w:rsid w:val="20DF5D75"/>
    <w:rsid w:val="211E76E3"/>
    <w:rsid w:val="21303A2F"/>
    <w:rsid w:val="22843ED3"/>
    <w:rsid w:val="248B798D"/>
    <w:rsid w:val="25CC020C"/>
    <w:rsid w:val="27AA20E3"/>
    <w:rsid w:val="2D780D39"/>
    <w:rsid w:val="2F91428E"/>
    <w:rsid w:val="31DC69F2"/>
    <w:rsid w:val="359C1E05"/>
    <w:rsid w:val="359E2391"/>
    <w:rsid w:val="3929223E"/>
    <w:rsid w:val="3B8E4805"/>
    <w:rsid w:val="3BB73BBF"/>
    <w:rsid w:val="3BBE0E4D"/>
    <w:rsid w:val="3E7F20A0"/>
    <w:rsid w:val="3F421C51"/>
    <w:rsid w:val="3FCE0B50"/>
    <w:rsid w:val="41356125"/>
    <w:rsid w:val="42A16911"/>
    <w:rsid w:val="43AC0516"/>
    <w:rsid w:val="44204A82"/>
    <w:rsid w:val="4506027C"/>
    <w:rsid w:val="474550AE"/>
    <w:rsid w:val="47A71181"/>
    <w:rsid w:val="4B3115EC"/>
    <w:rsid w:val="4C1573E2"/>
    <w:rsid w:val="518B2041"/>
    <w:rsid w:val="52541584"/>
    <w:rsid w:val="53C26D4F"/>
    <w:rsid w:val="54351912"/>
    <w:rsid w:val="56EF622F"/>
    <w:rsid w:val="58B647E8"/>
    <w:rsid w:val="5C6313A8"/>
    <w:rsid w:val="5E4B7276"/>
    <w:rsid w:val="5FBD3DDE"/>
    <w:rsid w:val="67DF1FD6"/>
    <w:rsid w:val="69F95CD5"/>
    <w:rsid w:val="6A3B4FCC"/>
    <w:rsid w:val="6B5F2761"/>
    <w:rsid w:val="6B6B0BB8"/>
    <w:rsid w:val="6FDC1639"/>
    <w:rsid w:val="75AB0D04"/>
    <w:rsid w:val="766111DA"/>
    <w:rsid w:val="77FFE5FC"/>
    <w:rsid w:val="79AC0429"/>
    <w:rsid w:val="7BE7D677"/>
    <w:rsid w:val="7C5D2896"/>
    <w:rsid w:val="7CEE5FD5"/>
    <w:rsid w:val="7EF6A37D"/>
    <w:rsid w:val="7F9FC9CD"/>
    <w:rsid w:val="7FE7118F"/>
    <w:rsid w:val="BFE72BA0"/>
    <w:rsid w:val="C6F6DED1"/>
    <w:rsid w:val="CE9F9426"/>
    <w:rsid w:val="E7FF9E5E"/>
    <w:rsid w:val="FDFF32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9"/>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2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1662</Words>
  <Characters>1667</Characters>
  <Lines>0</Lines>
  <Paragraphs>0</Paragraphs>
  <TotalTime>0</TotalTime>
  <ScaleCrop>false</ScaleCrop>
  <LinksUpToDate>false</LinksUpToDate>
  <CharactersWithSpaces>1676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2022-12-02T16:47:00Z</dcterms:created>
  <dc:creator>80534</dc:creator>
  <cp:lastModifiedBy>朱双峰</cp:lastModifiedBy>
  <cp:lastPrinted>2022-12-07T23:21:00Z</cp:lastPrinted>
  <dcterms:modified xsi:type="dcterms:W3CDTF">2025-01-08T10:02:54Z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F118102072252260CEDC7D6764B645A5</vt:lpwstr>
  </property>
</Properties>
</file>