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253BB">
      <w:pPr>
        <w:pStyle w:val="2"/>
        <w:bidi w:val="0"/>
        <w:rPr>
          <w:rFonts w:hint="eastAsia"/>
        </w:rPr>
      </w:pPr>
      <w:bookmarkStart w:id="0" w:name="_Toc10078"/>
      <w:r>
        <w:rPr>
          <w:rFonts w:hint="eastAsia"/>
        </w:rPr>
        <w:t>附件2</w:t>
      </w:r>
      <w:bookmarkEnd w:id="0"/>
      <w:r>
        <w:rPr>
          <w:rFonts w:hint="eastAsia"/>
        </w:rPr>
        <w:t xml:space="preserve"> </w:t>
      </w:r>
    </w:p>
    <w:p w14:paraId="4C06E077">
      <w:pPr>
        <w:ind w:left="0" w:leftChars="0" w:firstLine="0" w:firstLineChars="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市应急指挥部各成员单位职责</w:t>
      </w:r>
    </w:p>
    <w:p w14:paraId="33A40496">
      <w:pPr>
        <w:ind w:left="0" w:leftChars="0" w:firstLine="0" w:firstLineChars="0"/>
        <w:jc w:val="center"/>
        <w:rPr>
          <w:rFonts w:hint="eastAsia" w:ascii="方正小标宋简体" w:hAnsi="方正小标宋简体" w:eastAsia="方正小标宋简体" w:cs="方正小标宋简体"/>
          <w:b w:val="0"/>
          <w:bCs/>
          <w:sz w:val="44"/>
          <w:szCs w:val="4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2"/>
        <w:gridCol w:w="4039"/>
        <w:gridCol w:w="8212"/>
      </w:tblGrid>
      <w:tr w14:paraId="63E4D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1" w:type="dxa"/>
            <w:gridSpan w:val="2"/>
            <w:noWrap w:val="0"/>
            <w:vAlign w:val="top"/>
          </w:tcPr>
          <w:p w14:paraId="7723F560">
            <w:pPr>
              <w:pStyle w:val="3"/>
              <w:ind w:left="0" w:leftChars="0" w:firstLine="0" w:firstLineChars="0"/>
              <w:jc w:val="center"/>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指挥机构</w:t>
            </w:r>
          </w:p>
        </w:tc>
        <w:tc>
          <w:tcPr>
            <w:tcW w:w="8212" w:type="dxa"/>
            <w:noWrap w:val="0"/>
            <w:vAlign w:val="top"/>
          </w:tcPr>
          <w:p w14:paraId="25B5D225">
            <w:pPr>
              <w:pStyle w:val="3"/>
              <w:ind w:left="0" w:leftChars="0" w:firstLine="0" w:firstLineChars="0"/>
              <w:jc w:val="center"/>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应急职责</w:t>
            </w:r>
          </w:p>
        </w:tc>
      </w:tr>
      <w:tr w14:paraId="21758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noWrap w:val="0"/>
            <w:vAlign w:val="top"/>
          </w:tcPr>
          <w:p w14:paraId="7263754D">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总指挥</w:t>
            </w:r>
          </w:p>
        </w:tc>
        <w:tc>
          <w:tcPr>
            <w:tcW w:w="4039" w:type="dxa"/>
            <w:noWrap w:val="0"/>
            <w:vAlign w:val="center"/>
          </w:tcPr>
          <w:p w14:paraId="5406F81A">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市人民政府分管副市长</w:t>
            </w:r>
          </w:p>
        </w:tc>
        <w:tc>
          <w:tcPr>
            <w:tcW w:w="8212" w:type="dxa"/>
            <w:vMerge w:val="restart"/>
            <w:noWrap w:val="0"/>
            <w:vAlign w:val="top"/>
          </w:tcPr>
          <w:p w14:paraId="1FA7755C">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市应急指挥部职责：</w:t>
            </w:r>
            <w:r>
              <w:rPr>
                <w:rFonts w:hint="eastAsia" w:ascii="仿宋_GB2312" w:hAnsi="仿宋_GB2312" w:eastAsia="仿宋_GB2312" w:cs="仿宋_GB2312"/>
                <w:color w:val="000000"/>
                <w:kern w:val="2"/>
                <w:sz w:val="28"/>
                <w:szCs w:val="28"/>
                <w:lang w:val="en-US" w:eastAsia="zh-CN" w:bidi="ar-SA"/>
              </w:rPr>
              <w:t>贯彻落实市委、市政府有关生产安全工作的决策部署，领导、组织、协调全市较大危险化学品生产安全事故应急救援工作；掌握事态发展，负责应急救援重大事项的决策，决定启动和终止较大危险化学品生产安全事故应急响应；设立现场指挥部，指定现场总指挥，必要时协调驻赤部队参与应急救援工作；向自治区人民政府报告事故和救援情况，必要时请求协调支援。</w:t>
            </w:r>
          </w:p>
          <w:p w14:paraId="754872D7">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黑体" w:hAnsi="黑体" w:eastAsia="黑体" w:cs="黑体"/>
                <w:color w:val="000000"/>
                <w:kern w:val="2"/>
                <w:sz w:val="28"/>
                <w:szCs w:val="28"/>
                <w:lang w:val="en-US" w:eastAsia="zh-CN" w:bidi="ar-SA"/>
              </w:rPr>
            </w:pPr>
            <w:r>
              <w:rPr>
                <w:rFonts w:hint="eastAsia" w:ascii="黑体" w:hAnsi="黑体" w:eastAsia="黑体" w:cs="黑体"/>
                <w:color w:val="000000"/>
                <w:kern w:val="2"/>
                <w:sz w:val="28"/>
                <w:szCs w:val="28"/>
                <w:lang w:val="en-US" w:eastAsia="zh-CN" w:bidi="ar-SA"/>
              </w:rPr>
              <w:t>市应急指挥部办公室职责：</w:t>
            </w:r>
            <w:r>
              <w:rPr>
                <w:rFonts w:hint="eastAsia" w:ascii="仿宋_GB2312" w:hAnsi="仿宋_GB2312" w:eastAsia="仿宋_GB2312" w:cs="仿宋_GB2312"/>
                <w:color w:val="000000"/>
                <w:kern w:val="2"/>
                <w:sz w:val="28"/>
                <w:szCs w:val="28"/>
                <w:lang w:val="en-US" w:eastAsia="zh-CN" w:bidi="ar-SA"/>
              </w:rPr>
              <w:t>承担市应急指挥部日常工作；制定、修订监管行业领域危险化学品生产安全事故应急预案；协调市应急指挥部各成员单位参加危险化学品生产安全事故救援行动；协助市委、市政府指定的负责同志组织较大危险化学品生产安全事故应急处置工作，配合做好重大及以上危险化学品生产安全事故调查和善后处置工作；指导旗（县、区）人民政府危险化学品生产安全事故应对工作。</w:t>
            </w:r>
          </w:p>
        </w:tc>
      </w:tr>
      <w:tr w14:paraId="2B163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noWrap w:val="0"/>
            <w:vAlign w:val="top"/>
          </w:tcPr>
          <w:p w14:paraId="65142B9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14E03C1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2376DCE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6195F3BC">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4DDC717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5A6F594A">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副总指挥</w:t>
            </w:r>
          </w:p>
        </w:tc>
        <w:tc>
          <w:tcPr>
            <w:tcW w:w="4039" w:type="dxa"/>
            <w:noWrap w:val="0"/>
            <w:vAlign w:val="center"/>
          </w:tcPr>
          <w:p w14:paraId="39B4A2A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1D78B607">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市人民政府分管副秘书长</w:t>
            </w:r>
          </w:p>
          <w:p w14:paraId="40DE1DD8">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市应急管理局局长</w:t>
            </w:r>
          </w:p>
          <w:p w14:paraId="05EE0980">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市工业和信息化局局长</w:t>
            </w:r>
          </w:p>
          <w:p w14:paraId="33885606">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市消防救援</w:t>
            </w:r>
            <w:r>
              <w:rPr>
                <w:rFonts w:hint="eastAsia" w:ascii="仿宋_GB2312" w:hAnsi="仿宋_GB2312" w:eastAsia="仿宋_GB2312" w:cs="仿宋_GB2312"/>
                <w:color w:val="auto"/>
                <w:kern w:val="2"/>
                <w:sz w:val="28"/>
                <w:szCs w:val="28"/>
                <w:lang w:val="en-US" w:eastAsia="zh-CN" w:bidi="ar-SA"/>
              </w:rPr>
              <w:t>支队队长</w:t>
            </w:r>
          </w:p>
          <w:p w14:paraId="1EA94FD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8212" w:type="dxa"/>
            <w:vMerge w:val="continue"/>
            <w:noWrap w:val="0"/>
            <w:vAlign w:val="top"/>
          </w:tcPr>
          <w:p w14:paraId="105AED81">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黑体" w:hAnsi="黑体" w:eastAsia="黑体" w:cs="黑体"/>
                <w:color w:val="000000"/>
                <w:kern w:val="2"/>
                <w:sz w:val="28"/>
                <w:szCs w:val="28"/>
                <w:lang w:val="en-US" w:eastAsia="zh-CN" w:bidi="ar-SA"/>
              </w:rPr>
            </w:pPr>
          </w:p>
        </w:tc>
      </w:tr>
      <w:tr w14:paraId="231C4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2252" w:type="dxa"/>
            <w:vMerge w:val="restart"/>
            <w:noWrap w:val="0"/>
            <w:vAlign w:val="top"/>
          </w:tcPr>
          <w:p w14:paraId="3E026570">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69F017BF">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7D7A72B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0B5F143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5AE464B1">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1A110DE2">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7714DE29">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6DDBB01D">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41CDDDC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13533F35">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成员单位</w:t>
            </w:r>
          </w:p>
        </w:tc>
        <w:tc>
          <w:tcPr>
            <w:tcW w:w="4039" w:type="dxa"/>
            <w:noWrap w:val="0"/>
            <w:vAlign w:val="center"/>
          </w:tcPr>
          <w:p w14:paraId="4023D6C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市委宣传部</w:t>
            </w:r>
          </w:p>
        </w:tc>
        <w:tc>
          <w:tcPr>
            <w:tcW w:w="8212" w:type="dxa"/>
            <w:noWrap w:val="0"/>
            <w:vAlign w:val="top"/>
          </w:tcPr>
          <w:p w14:paraId="3EB68C2A">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配合市应急指挥部做好危险化学品生产安全事故的新闻发布工作，组织指导新闻发布，协调解决新闻报道中出现的问题，收集、跟踪境内外舆情，及时组织和协调有关方面开展对外解疑释惑、澄清事实、批驳谣言等工作;负责互联网的监控、管理及网上舆论引导；负责记者在事故现场的采访管理和服务。</w:t>
            </w:r>
          </w:p>
        </w:tc>
      </w:tr>
      <w:tr w14:paraId="20D4A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2252" w:type="dxa"/>
            <w:vMerge w:val="continue"/>
            <w:noWrap w:val="0"/>
            <w:vAlign w:val="top"/>
          </w:tcPr>
          <w:p w14:paraId="1E41827D">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62BFEE6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市委网信办</w:t>
            </w:r>
          </w:p>
        </w:tc>
        <w:tc>
          <w:tcPr>
            <w:tcW w:w="8212" w:type="dxa"/>
            <w:noWrap w:val="0"/>
            <w:vAlign w:val="center"/>
          </w:tcPr>
          <w:p w14:paraId="6D85D342">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负责事故网络與情的监测、引导和应对处置工作。</w:t>
            </w:r>
          </w:p>
        </w:tc>
      </w:tr>
      <w:tr w14:paraId="6239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52" w:type="dxa"/>
            <w:vMerge w:val="continue"/>
            <w:noWrap w:val="0"/>
            <w:vAlign w:val="top"/>
          </w:tcPr>
          <w:p w14:paraId="55125114">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512C68E5">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市发展改革委</w:t>
            </w:r>
          </w:p>
        </w:tc>
        <w:tc>
          <w:tcPr>
            <w:tcW w:w="8212" w:type="dxa"/>
            <w:noWrap w:val="0"/>
            <w:vAlign w:val="top"/>
          </w:tcPr>
          <w:p w14:paraId="0082E397">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负责市救援物资储备规划，组织实施市级救援物资的收储和日常管理；落实有关救援物资动用计划和指令，按程序组织调出。</w:t>
            </w:r>
          </w:p>
        </w:tc>
      </w:tr>
      <w:tr w14:paraId="56D7C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252" w:type="dxa"/>
            <w:vMerge w:val="continue"/>
            <w:noWrap w:val="0"/>
            <w:vAlign w:val="top"/>
          </w:tcPr>
          <w:p w14:paraId="4E10F90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7EA20E8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市教育局</w:t>
            </w:r>
          </w:p>
        </w:tc>
        <w:tc>
          <w:tcPr>
            <w:tcW w:w="8212" w:type="dxa"/>
            <w:noWrap w:val="0"/>
            <w:vAlign w:val="top"/>
          </w:tcPr>
          <w:p w14:paraId="5A0CE62A">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负责组织协调中学实验室危险化学品生产安全事故应急处置工作。</w:t>
            </w:r>
          </w:p>
        </w:tc>
      </w:tr>
      <w:tr w14:paraId="5FACA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7A3AEDAD">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11449CC4">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市工业和信息化局</w:t>
            </w:r>
          </w:p>
        </w:tc>
        <w:tc>
          <w:tcPr>
            <w:tcW w:w="8212" w:type="dxa"/>
            <w:noWrap w:val="0"/>
            <w:vAlign w:val="top"/>
          </w:tcPr>
          <w:p w14:paraId="14000778">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负责组织、协调工业应急物资的生产征购；负责生产安全事故应急通信的无线电频率协调保障工作。</w:t>
            </w:r>
          </w:p>
          <w:p w14:paraId="6F6C3DEE">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指挥、协调基础电信运营企业、铁塔公司为事故应急救援做好公众通信网的应急通信保障组织工作。</w:t>
            </w:r>
          </w:p>
        </w:tc>
      </w:tr>
      <w:tr w14:paraId="50D4E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433CD98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5F3ED4F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市公安局</w:t>
            </w:r>
          </w:p>
        </w:tc>
        <w:tc>
          <w:tcPr>
            <w:tcW w:w="8212" w:type="dxa"/>
            <w:noWrap w:val="0"/>
            <w:vAlign w:val="top"/>
          </w:tcPr>
          <w:p w14:paraId="41749C26">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负责组织协调民用爆炸物品、烟花爆竹公共安全事故的应急处置工作；在其他危险化学品事故中，负责组织应急救援的治安保卫、道路交通管制。</w:t>
            </w:r>
          </w:p>
        </w:tc>
      </w:tr>
      <w:tr w14:paraId="0BC3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4CFE2292">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27C3BB0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市民政局</w:t>
            </w:r>
          </w:p>
        </w:tc>
        <w:tc>
          <w:tcPr>
            <w:tcW w:w="8212" w:type="dxa"/>
            <w:noWrap w:val="0"/>
            <w:vAlign w:val="top"/>
          </w:tcPr>
          <w:p w14:paraId="46057249">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负责事故遇难人员善后处置工作和受事故影响群众的救助工作。</w:t>
            </w:r>
          </w:p>
        </w:tc>
      </w:tr>
      <w:tr w14:paraId="7046A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44DEF07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4BA59D72">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市财政局</w:t>
            </w:r>
          </w:p>
        </w:tc>
        <w:tc>
          <w:tcPr>
            <w:tcW w:w="8212" w:type="dxa"/>
            <w:noWrap w:val="0"/>
            <w:vAlign w:val="top"/>
          </w:tcPr>
          <w:p w14:paraId="77E34C68">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按照规定落实政府危险化学品安全生产投入，保障有关部门和单位危险化学品安全生产工作经费，为应对事故工作提供资金支持。</w:t>
            </w:r>
          </w:p>
        </w:tc>
      </w:tr>
      <w:tr w14:paraId="2F9FE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6A022BC7">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593A950C">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市人力资源社会保障局</w:t>
            </w:r>
          </w:p>
        </w:tc>
        <w:tc>
          <w:tcPr>
            <w:tcW w:w="8212" w:type="dxa"/>
            <w:noWrap w:val="0"/>
            <w:vAlign w:val="top"/>
          </w:tcPr>
          <w:p w14:paraId="30B18F66">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指导监督与事故有关的工伤保险政策落实；配合有关部门对事故救援工作中作出突出贡献的单位和个人给予奖励；组织实施事故发生后有关人员伤残等级和工伤劳动能力鉴定工作。</w:t>
            </w:r>
          </w:p>
        </w:tc>
      </w:tr>
      <w:tr w14:paraId="23A3B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4E969A0A">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344303CD">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19584A10">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市自然资源局</w:t>
            </w:r>
          </w:p>
          <w:p w14:paraId="0ABCEA55">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8212" w:type="dxa"/>
            <w:noWrap w:val="0"/>
            <w:vAlign w:val="top"/>
          </w:tcPr>
          <w:p w14:paraId="7256CC90">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负责组织协调提供与事故</w:t>
            </w:r>
            <w:r>
              <w:rPr>
                <w:rFonts w:hint="eastAsia" w:ascii="仿宋_GB2312" w:hAnsi="仿宋_GB2312" w:eastAsia="仿宋_GB2312" w:cs="仿宋_GB2312"/>
                <w:color w:val="auto"/>
                <w:kern w:val="2"/>
                <w:sz w:val="28"/>
                <w:szCs w:val="28"/>
                <w:lang w:val="en-US" w:eastAsia="zh-CN" w:bidi="ar-SA"/>
              </w:rPr>
              <w:t>应急救援工作</w:t>
            </w:r>
            <w:r>
              <w:rPr>
                <w:rFonts w:hint="eastAsia" w:ascii="仿宋_GB2312" w:hAnsi="仿宋_GB2312" w:eastAsia="仿宋_GB2312" w:cs="仿宋_GB2312"/>
                <w:color w:val="000000"/>
                <w:kern w:val="2"/>
                <w:sz w:val="28"/>
                <w:szCs w:val="28"/>
                <w:lang w:val="en-US" w:eastAsia="zh-CN" w:bidi="ar-SA"/>
              </w:rPr>
              <w:t>有关的测绘地理信息数据和卫星综合定位基准服务，提供事发区域地图资料和基础测绘成果，提供空间定位技术、移动端导舟和电子地图服务，提供各类遥感和无人机影像监测数据等服务；负责做好事发地地质灾害风险预警和评估。</w:t>
            </w:r>
          </w:p>
        </w:tc>
      </w:tr>
      <w:tr w14:paraId="4173C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16B01F3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7876F98E">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市生态环境局</w:t>
            </w:r>
          </w:p>
        </w:tc>
        <w:tc>
          <w:tcPr>
            <w:tcW w:w="8212" w:type="dxa"/>
            <w:noWrap w:val="0"/>
            <w:vAlign w:val="top"/>
          </w:tcPr>
          <w:p w14:paraId="03B5147A">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负责组织协调危险化学品废弃处置安全事故的应急处置工作；在其他危险化学品事故中，负责组织、协调事故现场环境应急监测、预警和环境损害评估工作，组织制定环境应急处置方案，参与事故调查。</w:t>
            </w:r>
          </w:p>
        </w:tc>
      </w:tr>
      <w:tr w14:paraId="7C98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277B7B9C">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60E3D60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市住房城乡建设局</w:t>
            </w:r>
          </w:p>
        </w:tc>
        <w:tc>
          <w:tcPr>
            <w:tcW w:w="8212" w:type="dxa"/>
            <w:noWrap w:val="0"/>
            <w:vAlign w:val="top"/>
          </w:tcPr>
          <w:p w14:paraId="300A9F72">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负责协调和指导恢复城市供水、供气、供热、市政照明等公用设施运行，保障居民基本生活需要。</w:t>
            </w:r>
          </w:p>
        </w:tc>
      </w:tr>
      <w:tr w14:paraId="3DFEE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20CC19E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0C9A5D78">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市交通运输局</w:t>
            </w:r>
          </w:p>
        </w:tc>
        <w:tc>
          <w:tcPr>
            <w:tcW w:w="8212" w:type="dxa"/>
            <w:noWrap w:val="0"/>
            <w:vAlign w:val="top"/>
          </w:tcPr>
          <w:p w14:paraId="12EE42FB">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负责组织协调危险化学品运输环节事故应急处置工作；负责组织提供应急救援所需的交通运输保障工作。</w:t>
            </w:r>
          </w:p>
        </w:tc>
      </w:tr>
      <w:tr w14:paraId="791D1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6485602C">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7978B955">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市水利局</w:t>
            </w:r>
          </w:p>
        </w:tc>
        <w:tc>
          <w:tcPr>
            <w:tcW w:w="8212" w:type="dxa"/>
            <w:noWrap w:val="0"/>
            <w:vAlign w:val="top"/>
          </w:tcPr>
          <w:p w14:paraId="706C84EB">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负责事故抢险救援过程中水资源调配；做好事发地附近涉及水库、水源地、河道等重大水利设施风险评估和预警。</w:t>
            </w:r>
          </w:p>
        </w:tc>
      </w:tr>
      <w:tr w14:paraId="256EE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0C6BA60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43388A3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市农牧局</w:t>
            </w:r>
          </w:p>
        </w:tc>
        <w:tc>
          <w:tcPr>
            <w:tcW w:w="8212" w:type="dxa"/>
            <w:noWrap w:val="0"/>
            <w:vAlign w:val="top"/>
          </w:tcPr>
          <w:p w14:paraId="5EA8AC0D">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负责组织协调农药生产企业事故应急救援工作。</w:t>
            </w:r>
          </w:p>
        </w:tc>
      </w:tr>
      <w:tr w14:paraId="25FAD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409DF2EE">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7FF5A442">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市商务局</w:t>
            </w:r>
          </w:p>
        </w:tc>
        <w:tc>
          <w:tcPr>
            <w:tcW w:w="8212" w:type="dxa"/>
            <w:noWrap w:val="0"/>
            <w:vAlign w:val="top"/>
          </w:tcPr>
          <w:p w14:paraId="193102A6">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协助做好加油站生产安全事故应急救援，组织保障事故处置过程中生活必需品的供应。</w:t>
            </w:r>
          </w:p>
        </w:tc>
      </w:tr>
      <w:tr w14:paraId="44948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3EFEF080">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0539798F">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市卫生健康委</w:t>
            </w:r>
          </w:p>
        </w:tc>
        <w:tc>
          <w:tcPr>
            <w:tcW w:w="8212" w:type="dxa"/>
            <w:noWrap w:val="0"/>
            <w:vAlign w:val="top"/>
          </w:tcPr>
          <w:p w14:paraId="53F19C79">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负责组织协调医院和所属企业事故应急处置工作；协调指导事故的医疗卫生救援工作，对事故组织实施紧急医学救援，负责卫生防疫工作，并为地方卫生医疗机构提供技术支持。</w:t>
            </w:r>
          </w:p>
        </w:tc>
      </w:tr>
      <w:tr w14:paraId="0683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2DCDCFE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12B97552">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p w14:paraId="74B8BD2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市应急管理局</w:t>
            </w:r>
          </w:p>
          <w:p w14:paraId="735619C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8212" w:type="dxa"/>
            <w:noWrap w:val="0"/>
            <w:vAlign w:val="top"/>
          </w:tcPr>
          <w:p w14:paraId="4EF9BCAD">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承担监管领域内危险化学品生产、经营、储存环节生产安全事故应急指挥部办公室职责；负责组织协调危险化学品生产、经营及职责范围内的危险化学品存储和使用生产安全事故的应急处置工作；指导、综合协调涉及其他行业主管部门的危险化学品存储、使用生产安全事故应急救援工作，组织协调事故应急救援相关物资、装备的调配，依法指导事故调查处理，监督事故查处和责任追究落实情况。</w:t>
            </w:r>
          </w:p>
        </w:tc>
      </w:tr>
      <w:tr w14:paraId="50C85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2252" w:type="dxa"/>
            <w:vMerge w:val="continue"/>
            <w:noWrap w:val="0"/>
            <w:vAlign w:val="top"/>
          </w:tcPr>
          <w:p w14:paraId="49997E2E">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3D166786">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市国资委</w:t>
            </w:r>
          </w:p>
        </w:tc>
        <w:tc>
          <w:tcPr>
            <w:tcW w:w="8212" w:type="dxa"/>
            <w:noWrap w:val="0"/>
            <w:vAlign w:val="center"/>
          </w:tcPr>
          <w:p w14:paraId="1F54C988">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jc w:val="left"/>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配合有关职能部门协调所监管企业的事故应急救援工作。</w:t>
            </w:r>
          </w:p>
        </w:tc>
      </w:tr>
      <w:tr w14:paraId="6243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06D6A13E">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7F4198D3">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市市场监督管理局</w:t>
            </w:r>
          </w:p>
        </w:tc>
        <w:tc>
          <w:tcPr>
            <w:tcW w:w="8212" w:type="dxa"/>
            <w:noWrap w:val="0"/>
            <w:vAlign w:val="top"/>
          </w:tcPr>
          <w:p w14:paraId="71BE2A37">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与危险化学品生产、经营、储存、使用等事故特种设备方面的应急救援工作；在其他危险化学品事故中，负责提供事故现场施救所需的技术支持和保障，提供抢救用药品和医疗器械的信息，监督抢救伤员所需药品、医疗器械的质量。</w:t>
            </w:r>
          </w:p>
        </w:tc>
      </w:tr>
      <w:tr w14:paraId="1DDC7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609B8E0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1F138845">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市能源局</w:t>
            </w:r>
          </w:p>
        </w:tc>
        <w:tc>
          <w:tcPr>
            <w:tcW w:w="8212" w:type="dxa"/>
            <w:noWrap w:val="0"/>
            <w:vAlign w:val="top"/>
          </w:tcPr>
          <w:p w14:paraId="2A27FA93">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负责组织协调市内油气长输管道生产安全事故的应急处置工作；做好事发地附近油气长输管道风险评估和预警工作。</w:t>
            </w:r>
          </w:p>
        </w:tc>
      </w:tr>
      <w:tr w14:paraId="557B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12E791C1">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72A872B0">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市林草局</w:t>
            </w:r>
          </w:p>
        </w:tc>
        <w:tc>
          <w:tcPr>
            <w:tcW w:w="8212" w:type="dxa"/>
            <w:noWrap w:val="0"/>
            <w:vAlign w:val="top"/>
          </w:tcPr>
          <w:p w14:paraId="782759C9">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负责指导事故区域内树木处置工作；做好事发地附近林场、草原及以国家公园为主体的各类自然保护地等风险评估和预警。</w:t>
            </w:r>
          </w:p>
        </w:tc>
      </w:tr>
      <w:tr w14:paraId="45007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79A3BF4F">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2F0AF5C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市总工会</w:t>
            </w:r>
          </w:p>
        </w:tc>
        <w:tc>
          <w:tcPr>
            <w:tcW w:w="8212" w:type="dxa"/>
            <w:noWrap w:val="0"/>
            <w:vAlign w:val="top"/>
          </w:tcPr>
          <w:p w14:paraId="67D51890">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参与危险化学品生产安全事故的应急处置、调查和善后处理；维护职工合法权益。</w:t>
            </w:r>
          </w:p>
        </w:tc>
      </w:tr>
      <w:tr w14:paraId="6A568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0198B6E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04FAF368">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武警赤峰支队</w:t>
            </w:r>
          </w:p>
        </w:tc>
        <w:tc>
          <w:tcPr>
            <w:tcW w:w="8212" w:type="dxa"/>
            <w:noWrap w:val="0"/>
            <w:vAlign w:val="top"/>
          </w:tcPr>
          <w:p w14:paraId="04E5FD75">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会同公安机关担负事故现场及周边地区的安全警戒，维护社会秩序。必要时，在市委和市政府的统一指挥下参加事故应急处置和救援。</w:t>
            </w:r>
          </w:p>
        </w:tc>
      </w:tr>
      <w:tr w14:paraId="2D17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4D45A5C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68F7EDBF">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市消防救援支队</w:t>
            </w:r>
          </w:p>
        </w:tc>
        <w:tc>
          <w:tcPr>
            <w:tcW w:w="8212" w:type="dxa"/>
            <w:noWrap w:val="0"/>
            <w:vAlign w:val="top"/>
          </w:tcPr>
          <w:p w14:paraId="2F4C759C">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组织做好事故的火灾扑救和抢救人民生命财产安全应急救援工作，实施危险化学品处置、火灾扑救、人员搜救和事故现场清理等工作；控制危险源，防止次生、衍生事故发生；为事故调查收集有关资料。</w:t>
            </w:r>
          </w:p>
        </w:tc>
      </w:tr>
      <w:tr w14:paraId="24053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7039A6D2">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244B38AB">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市融媒体中心</w:t>
            </w:r>
          </w:p>
        </w:tc>
        <w:tc>
          <w:tcPr>
            <w:tcW w:w="8212" w:type="dxa"/>
            <w:noWrap w:val="0"/>
            <w:vAlign w:val="top"/>
          </w:tcPr>
          <w:p w14:paraId="2413DA6A">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负责对危险化学品事故救援工作的宣传报道，利用广播电视、报纸等新闻媒体向社会播报市指挥部或有关部门发出的危险化学品事故预警信息。</w:t>
            </w:r>
          </w:p>
        </w:tc>
      </w:tr>
      <w:tr w14:paraId="2B934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52F54820">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327D9541">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市气象局</w:t>
            </w:r>
          </w:p>
        </w:tc>
        <w:tc>
          <w:tcPr>
            <w:tcW w:w="8212" w:type="dxa"/>
            <w:noWrap w:val="0"/>
            <w:vAlign w:val="top"/>
          </w:tcPr>
          <w:p w14:paraId="03048195">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负责天气监测、预报、预测，及时提供气象信息服务，开展因气象灾害引发的事故灾害调查、评估及气象分析等工作。</w:t>
            </w:r>
          </w:p>
        </w:tc>
      </w:tr>
      <w:tr w14:paraId="7702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252" w:type="dxa"/>
            <w:vMerge w:val="continue"/>
            <w:noWrap w:val="0"/>
            <w:vAlign w:val="top"/>
          </w:tcPr>
          <w:p w14:paraId="35A8D33D">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505E8FFE">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赤峰金融监管分局</w:t>
            </w:r>
          </w:p>
        </w:tc>
        <w:tc>
          <w:tcPr>
            <w:tcW w:w="8212" w:type="dxa"/>
            <w:noWrap w:val="0"/>
            <w:vAlign w:val="top"/>
          </w:tcPr>
          <w:p w14:paraId="47242531">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督促有关保险机构对发生事故的参保单位及个人及时做好理赔工作。</w:t>
            </w:r>
          </w:p>
        </w:tc>
      </w:tr>
      <w:tr w14:paraId="15075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252" w:type="dxa"/>
            <w:vMerge w:val="continue"/>
            <w:noWrap w:val="0"/>
            <w:vAlign w:val="top"/>
          </w:tcPr>
          <w:p w14:paraId="73053D94">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0112B26A">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国网赤峰供电公司</w:t>
            </w:r>
          </w:p>
        </w:tc>
        <w:tc>
          <w:tcPr>
            <w:tcW w:w="8212" w:type="dxa"/>
            <w:noWrap w:val="0"/>
            <w:vAlign w:val="center"/>
          </w:tcPr>
          <w:p w14:paraId="6A123391">
            <w:pPr>
              <w:keepNext w:val="0"/>
              <w:keepLines w:val="0"/>
              <w:pageBreakBefore w:val="0"/>
              <w:widowControl w:val="0"/>
              <w:kinsoku/>
              <w:wordWrap/>
              <w:overflowPunct/>
              <w:topLinePunct w:val="0"/>
              <w:autoSpaceDE/>
              <w:autoSpaceDN/>
              <w:bidi w:val="0"/>
              <w:adjustRightInd/>
              <w:spacing w:line="560" w:lineRule="exact"/>
              <w:ind w:firstLine="600"/>
              <w:jc w:val="both"/>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负责危险化学品生产安全事故应急救援的电力保障工作。</w:t>
            </w:r>
          </w:p>
        </w:tc>
      </w:tr>
      <w:tr w14:paraId="2A036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394499FD">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p>
        </w:tc>
        <w:tc>
          <w:tcPr>
            <w:tcW w:w="4039" w:type="dxa"/>
            <w:noWrap w:val="0"/>
            <w:vAlign w:val="center"/>
          </w:tcPr>
          <w:p w14:paraId="6110B1BC">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赤峰机场公司</w:t>
            </w:r>
          </w:p>
        </w:tc>
        <w:tc>
          <w:tcPr>
            <w:tcW w:w="8212" w:type="dxa"/>
            <w:noWrap w:val="0"/>
            <w:vAlign w:val="center"/>
          </w:tcPr>
          <w:p w14:paraId="0CB0B32F">
            <w:pPr>
              <w:keepNext w:val="0"/>
              <w:keepLines w:val="0"/>
              <w:pageBreakBefore w:val="0"/>
              <w:widowControl w:val="0"/>
              <w:kinsoku/>
              <w:wordWrap/>
              <w:overflowPunct/>
              <w:topLinePunct w:val="0"/>
              <w:autoSpaceDE/>
              <w:autoSpaceDN/>
              <w:bidi w:val="0"/>
              <w:adjustRightInd/>
              <w:spacing w:line="560" w:lineRule="exact"/>
              <w:ind w:firstLine="60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负责组织协调应急救援所需的空运和物资、器械的空投保障。</w:t>
            </w:r>
          </w:p>
        </w:tc>
      </w:tr>
      <w:tr w14:paraId="37664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0C896A04">
            <w:pPr>
              <w:pStyle w:val="3"/>
              <w:ind w:left="640"/>
              <w:rPr>
                <w:sz w:val="28"/>
                <w:szCs w:val="28"/>
              </w:rPr>
            </w:pPr>
          </w:p>
        </w:tc>
        <w:tc>
          <w:tcPr>
            <w:tcW w:w="4039" w:type="dxa"/>
            <w:noWrap w:val="0"/>
            <w:vAlign w:val="center"/>
          </w:tcPr>
          <w:p w14:paraId="00EB8C6E">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赤峰车务段</w:t>
            </w:r>
          </w:p>
        </w:tc>
        <w:tc>
          <w:tcPr>
            <w:tcW w:w="8212" w:type="dxa"/>
            <w:noWrap w:val="0"/>
            <w:vAlign w:val="top"/>
          </w:tcPr>
          <w:p w14:paraId="0B2DCAC2">
            <w:pPr>
              <w:keepNext w:val="0"/>
              <w:keepLines w:val="0"/>
              <w:pageBreakBefore w:val="0"/>
              <w:widowControl w:val="0"/>
              <w:kinsoku/>
              <w:wordWrap/>
              <w:overflowPunct/>
              <w:topLinePunct w:val="0"/>
              <w:autoSpaceDE/>
              <w:autoSpaceDN/>
              <w:bidi w:val="0"/>
              <w:adjustRightInd/>
              <w:spacing w:line="560" w:lineRule="exact"/>
              <w:ind w:firstLine="6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负责组织协调危险化学品铁路运输生产安全事故应急处置工作；组织协调应急救援所需的铁路运输保障。</w:t>
            </w:r>
          </w:p>
        </w:tc>
      </w:tr>
      <w:tr w14:paraId="17B0A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dxa"/>
            <w:vMerge w:val="continue"/>
            <w:noWrap w:val="0"/>
            <w:vAlign w:val="top"/>
          </w:tcPr>
          <w:p w14:paraId="0DABC49F">
            <w:pPr>
              <w:pStyle w:val="3"/>
              <w:ind w:left="640"/>
              <w:rPr>
                <w:sz w:val="28"/>
                <w:szCs w:val="28"/>
              </w:rPr>
            </w:pPr>
          </w:p>
        </w:tc>
        <w:tc>
          <w:tcPr>
            <w:tcW w:w="4039" w:type="dxa"/>
            <w:noWrap w:val="0"/>
            <w:vAlign w:val="center"/>
          </w:tcPr>
          <w:p w14:paraId="7F950812">
            <w:pPr>
              <w:pStyle w:val="3"/>
              <w:ind w:left="0" w:leftChars="0" w:firstLine="0" w:firstLineChars="0"/>
              <w:jc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中国航空油料有限责任公司赤峰供应站</w:t>
            </w:r>
          </w:p>
        </w:tc>
        <w:tc>
          <w:tcPr>
            <w:tcW w:w="8212" w:type="dxa"/>
            <w:noWrap w:val="0"/>
            <w:vAlign w:val="center"/>
          </w:tcPr>
          <w:p w14:paraId="19673763">
            <w:pPr>
              <w:keepNext w:val="0"/>
              <w:keepLines w:val="0"/>
              <w:pageBreakBefore w:val="0"/>
              <w:widowControl w:val="0"/>
              <w:kinsoku/>
              <w:wordWrap/>
              <w:overflowPunct/>
              <w:topLinePunct w:val="0"/>
              <w:autoSpaceDE/>
              <w:autoSpaceDN/>
              <w:bidi w:val="0"/>
              <w:adjustRightInd/>
              <w:spacing w:line="560" w:lineRule="exact"/>
              <w:ind w:firstLine="560" w:firstLineChars="200"/>
              <w:jc w:val="both"/>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负责组织协调民航所属油库有关事故的应急处置工作。</w:t>
            </w:r>
          </w:p>
        </w:tc>
      </w:tr>
    </w:tbl>
    <w:p w14:paraId="7675512F">
      <w:pPr>
        <w:pStyle w:val="3"/>
        <w:ind w:left="640"/>
      </w:pPr>
    </w:p>
    <w:p w14:paraId="5BD10C32">
      <w:pPr>
        <w:ind w:firstLine="600"/>
        <w:rPr>
          <w:rFonts w:hint="eastAsia" w:ascii="宋体" w:hAnsi="宋体" w:eastAsia="宋体" w:cs="宋体"/>
          <w:sz w:val="30"/>
          <w:szCs w:val="30"/>
        </w:rPr>
      </w:pPr>
    </w:p>
    <w:p w14:paraId="3D43C6E4">
      <w:pPr>
        <w:pStyle w:val="3"/>
        <w:ind w:left="640"/>
        <w:rPr>
          <w:rFonts w:hint="eastAsia"/>
        </w:rPr>
      </w:pPr>
    </w:p>
    <w:p w14:paraId="6EFD9FE7">
      <w:pPr>
        <w:ind w:firstLine="602"/>
        <w:rPr>
          <w:rFonts w:hint="eastAsia" w:ascii="仿宋_GB2312" w:hAnsi="黑体" w:eastAsia="仿宋_GB2312" w:cs="黑体"/>
          <w:b/>
          <w:color w:val="000000"/>
          <w:sz w:val="30"/>
          <w:szCs w:val="30"/>
        </w:rPr>
      </w:pPr>
    </w:p>
    <w:p w14:paraId="173D767C">
      <w:pPr>
        <w:rPr>
          <w:rFonts w:hint="eastAsia"/>
          <w:lang w:val="en-US" w:eastAsia="zh-CN"/>
        </w:rPr>
      </w:pPr>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A26B6C"/>
    <w:rsid w:val="61CE1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8"/>
    <w:qFormat/>
    <w:uiPriority w:val="0"/>
    <w:pPr>
      <w:keepNext/>
      <w:keepLines/>
      <w:ind w:firstLine="0" w:firstLineChars="0"/>
      <w:jc w:val="left"/>
      <w:outlineLvl w:val="0"/>
    </w:pPr>
    <w:rPr>
      <w:rFonts w:eastAsia="黑体"/>
      <w:bCs/>
      <w:kern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spacing w:line="240" w:lineRule="auto"/>
      <w:ind w:left="420" w:leftChars="200" w:firstLine="0" w:firstLineChars="0"/>
    </w:pPr>
    <w:rPr>
      <w:rFonts w:ascii="Calibri" w:hAnsi="Calibri"/>
    </w:rPr>
  </w:style>
  <w:style w:type="paragraph" w:styleId="4">
    <w:name w:val="footer"/>
    <w:basedOn w:val="1"/>
    <w:uiPriority w:val="99"/>
    <w:pPr>
      <w:tabs>
        <w:tab w:val="center" w:pos="4153"/>
        <w:tab w:val="right" w:pos="8306"/>
      </w:tabs>
      <w:snapToGrid w:val="0"/>
      <w:jc w:val="left"/>
    </w:pPr>
    <w:rPr>
      <w:rFonts w:eastAsia="宋体"/>
      <w:sz w:val="18"/>
      <w:szCs w:val="18"/>
    </w:rPr>
  </w:style>
  <w:style w:type="paragraph" w:styleId="5">
    <w:name w:val="header"/>
    <w:basedOn w:val="1"/>
    <w:uiPriority w:val="99"/>
    <w:pPr>
      <w:pBdr>
        <w:bottom w:val="single" w:color="auto" w:sz="6" w:space="1"/>
      </w:pBdr>
      <w:tabs>
        <w:tab w:val="center" w:pos="4153"/>
        <w:tab w:val="right" w:pos="8306"/>
      </w:tabs>
      <w:snapToGrid w:val="0"/>
      <w:jc w:val="center"/>
    </w:pPr>
    <w:rPr>
      <w:rFonts w:eastAsia="宋体"/>
      <w:sz w:val="18"/>
      <w:szCs w:val="18"/>
    </w:rPr>
  </w:style>
  <w:style w:type="character" w:customStyle="1" w:styleId="8">
    <w:name w:val="标题 1 Char"/>
    <w:link w:val="2"/>
    <w:qFormat/>
    <w:uiPriority w:val="0"/>
    <w:rPr>
      <w:rFonts w:eastAsia="黑体"/>
      <w:bCs/>
      <w:kern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308</Words>
  <Characters>332</Characters>
  <Lines>0</Lines>
  <Paragraphs>0</Paragraphs>
  <TotalTime>0</TotalTime>
  <ScaleCrop>false</ScaleCrop>
  <LinksUpToDate>false</LinksUpToDate>
  <CharactersWithSpaces>333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2025-07-24T08:39:00Z</dcterms:created>
  <dc:creator>admin</dc:creator>
  <cp:lastModifiedBy>admin</cp:lastModifiedBy>
  <dcterms:modified xsi:type="dcterms:W3CDTF">2025-07-24T08:41:02Z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eyJoZGlkIjoiMTQxZDZlYzhkN2NkMzBlMzJiZTAyN2EyMTgzNTc4YTkiLCJ1c2VySWQiOiI2Mjc4MjgwMTcifQ==</vt:lpwstr>
  </property>
  <property fmtid="{D5CDD505-2E9C-101B-9397-08002B2CF9AE}" pid="4" name="ICV">
    <vt:lpwstr>4B6008DE123E4EF6AFA2867ACF86CAA1_12</vt:lpwstr>
  </property>
</Properties>
</file>