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90C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sz w:val="21"/>
          <w:szCs w:val="21"/>
          <w:vertAlign w:val="baseline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1144270</wp:posOffset>
            </wp:positionH>
            <wp:positionV relativeFrom="page">
              <wp:posOffset>927735</wp:posOffset>
            </wp:positionV>
            <wp:extent cx="5365750" cy="1379855"/>
            <wp:effectExtent l="0" t="0" r="0" b="0"/>
            <wp:wrapNone/>
            <wp:docPr id="1" name="图片 2" descr="C:\Users\86130\Desktop\市政府\zjk图片\zjk图片\秘书二科\发文\赤政字.png赤政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86130\Desktop\市政府\zjk图片\zjk图片\秘书二科\发文\赤政字.png赤政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35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sz w:val="21"/>
          <w:szCs w:val="21"/>
          <w:vertAlign w:val="baseline"/>
          <w:lang w:eastAsia="zh-CN"/>
        </w:rPr>
      </w:pPr>
    </w:p>
    <w:tbl>
      <w:tblPr>
        <w:tblStyle w:val="10"/>
        <w:tblpPr w:leftFromText="180" w:rightFromText="180" w:vertAnchor="text" w:horzAnchor="page" w:tblpX="1712" w:tblpY="437"/>
        <w:tblOverlap w:val="never"/>
        <w:tblW w:w="8780" w:type="dxa"/>
        <w:tblInd w:w="0" w:type="dxa"/>
        <w:tblBorders>
          <w:top w:val="single" w:color="FF0000" w:sz="18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0"/>
      </w:tblGrid>
      <w:tr w14:paraId="39609E0A">
        <w:tblPrEx>
          <w:tblBorders>
            <w:top w:val="single" w:color="FF0000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exact"/>
        </w:trPr>
        <w:tc>
          <w:tcPr>
            <w:tcW w:w="8780" w:type="dxa"/>
            <w:tcBorders>
              <w:top w:val="single" w:color="FF0000" w:sz="36" w:space="0"/>
              <w:bottom w:val="single" w:color="FF0000" w:sz="12" w:space="0"/>
            </w:tcBorders>
            <w:noWrap w:val="0"/>
            <w:vAlign w:val="top"/>
          </w:tcPr>
          <w:p w14:paraId="48310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560" w:lineRule="exact"/>
              <w:jc w:val="right"/>
              <w:textAlignment w:val="auto"/>
              <w:rPr>
                <w:vertAlign w:val="baseline"/>
              </w:rPr>
            </w:pPr>
          </w:p>
          <w:p w14:paraId="6456AF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/>
              </w:rPr>
            </w:pPr>
          </w:p>
        </w:tc>
      </w:tr>
      <w:tr w14:paraId="78642BB0">
        <w:tblPrEx>
          <w:tblBorders>
            <w:top w:val="single" w:color="FF0000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exact"/>
        </w:trPr>
        <w:tc>
          <w:tcPr>
            <w:tcW w:w="8780" w:type="dxa"/>
            <w:tcBorders>
              <w:top w:val="single" w:color="FF0000" w:sz="12" w:space="0"/>
            </w:tcBorders>
            <w:noWrap w:val="0"/>
            <w:vAlign w:val="top"/>
          </w:tcPr>
          <w:p w14:paraId="57632C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righ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赤政字〔2024〕99号</w:t>
            </w:r>
          </w:p>
        </w:tc>
      </w:tr>
    </w:tbl>
    <w:p w14:paraId="596F3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60" w:lineRule="exact"/>
        <w:jc w:val="both"/>
        <w:textAlignment w:val="auto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 w14:paraId="78DDF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60" w:lineRule="exact"/>
        <w:jc w:val="both"/>
        <w:textAlignment w:val="auto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 w14:paraId="5134DAE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赤峰市人民政府关于</w:t>
      </w:r>
    </w:p>
    <w:p w14:paraId="309A6C9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公布赤峰市中心城区土地定级与</w:t>
      </w:r>
    </w:p>
    <w:p w14:paraId="5BD14B1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基准地价更新成果的通知</w:t>
      </w:r>
    </w:p>
    <w:p w14:paraId="5BE200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</w:rPr>
      </w:pPr>
    </w:p>
    <w:p w14:paraId="3E94E2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各旗县区人民政府，市直各委办局：</w:t>
      </w:r>
    </w:p>
    <w:p w14:paraId="284A5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为加强地价管理，规范土地市场秩序，按照《城镇土地分等定级规程》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《城镇土地估价规程》及相关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工作要求，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赤峰市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对中心城区土地定级与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基准地价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进行调整、更新，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已通过自治区自</w:t>
      </w:r>
      <w:r>
        <w:rPr>
          <w:rFonts w:hint="eastAsia" w:ascii="仿宋_GB2312" w:hAnsi="仿宋_GB2312" w:eastAsia="仿宋_GB2312" w:cs="仿宋_GB2312"/>
          <w:sz w:val="32"/>
          <w:szCs w:val="32"/>
        </w:rPr>
        <w:t>然资源厅评审验收。现将更新后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的赤峰市中心城区</w:t>
      </w:r>
      <w:r>
        <w:rPr>
          <w:rFonts w:hint="eastAsia" w:ascii="仿宋_GB2312" w:hAnsi="仿宋_GB2312" w:eastAsia="仿宋_GB2312" w:cs="仿宋_GB2312"/>
          <w:sz w:val="32"/>
          <w:szCs w:val="32"/>
        </w:rPr>
        <w:t>基准地价内涵说明表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、赤峰市中心城区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各类用地</w:t>
      </w:r>
      <w:r>
        <w:rPr>
          <w:rFonts w:hint="eastAsia" w:ascii="仿宋_GB2312" w:hAnsi="仿宋_GB2312" w:eastAsia="仿宋_GB2312" w:cs="仿宋_GB2312"/>
          <w:sz w:val="32"/>
          <w:szCs w:val="32"/>
        </w:rPr>
        <w:t>基准地价表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、赤峰市中心城区</w:t>
      </w:r>
      <w:r>
        <w:rPr>
          <w:rFonts w:hint="eastAsia" w:ascii="仿宋_GB2312" w:hAnsi="仿宋_GB2312" w:eastAsia="仿宋_GB2312" w:cs="仿宋_GB2312"/>
          <w:sz w:val="32"/>
          <w:szCs w:val="32"/>
        </w:rPr>
        <w:t>各用途级别基准地价图予以公布，自公布之日起执行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</w:rPr>
        <w:t>日公布实施的《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赤峰市中心城区</w:t>
      </w:r>
      <w:r>
        <w:rPr>
          <w:rFonts w:hint="eastAsia" w:ascii="仿宋_GB2312" w:hAnsi="仿宋_GB2312" w:eastAsia="仿宋_GB2312" w:cs="仿宋_GB2312"/>
          <w:sz w:val="32"/>
          <w:szCs w:val="32"/>
        </w:rPr>
        <w:t>土地定级与基准地价更新成果》同时废止。</w:t>
      </w:r>
    </w:p>
    <w:p w14:paraId="61D79B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E1671DE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赤峰市中心城区</w:t>
      </w:r>
      <w:r>
        <w:rPr>
          <w:rFonts w:hint="eastAsia" w:ascii="仿宋_GB2312" w:hAnsi="仿宋_GB2312" w:eastAsia="仿宋_GB2312" w:cs="仿宋_GB2312"/>
          <w:sz w:val="32"/>
          <w:szCs w:val="32"/>
        </w:rPr>
        <w:t>基准地价内涵说明表</w:t>
      </w:r>
    </w:p>
    <w:p w14:paraId="7E26F147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1600" w:firstLineChars="5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赤峰市中心城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各类用地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基</w:t>
      </w:r>
      <w:r>
        <w:rPr>
          <w:rFonts w:hint="eastAsia" w:ascii="仿宋_GB2312" w:hAnsi="仿宋_GB2312" w:eastAsia="仿宋_GB2312" w:cs="仿宋_GB2312"/>
          <w:sz w:val="32"/>
          <w:szCs w:val="32"/>
        </w:rPr>
        <w:t>准地价表</w:t>
      </w:r>
    </w:p>
    <w:p w14:paraId="785021F5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1600" w:firstLineChars="5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赤峰市中心城区</w:t>
      </w:r>
      <w:r>
        <w:rPr>
          <w:rFonts w:hint="eastAsia" w:ascii="仿宋_GB2312" w:hAnsi="仿宋_GB2312" w:eastAsia="仿宋_GB2312" w:cs="仿宋_GB2312"/>
          <w:sz w:val="32"/>
          <w:szCs w:val="32"/>
        </w:rPr>
        <w:t>各用途级别基准地价图</w:t>
      </w:r>
    </w:p>
    <w:p w14:paraId="6C7BFCB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960" w:firstLineChars="3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yellow"/>
          <w:lang w:val="en-US" w:eastAsia="zh-CN" w:bidi="ar-SA"/>
        </w:rPr>
      </w:pPr>
    </w:p>
    <w:p w14:paraId="22827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 w14:paraId="1AD43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CE597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（此件公开发布）</w:t>
      </w:r>
    </w:p>
    <w:p w14:paraId="03C3E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81E8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207D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3307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4574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E9D4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966FE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5506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E23FA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C8E0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1C2E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24A7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D41CA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FFF2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FED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735C5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EC24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05CF670"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附件1</w:t>
      </w:r>
    </w:p>
    <w:p w14:paraId="771876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-US" w:eastAsia="zh-CN"/>
        </w:rPr>
      </w:pPr>
    </w:p>
    <w:p w14:paraId="020E5785">
      <w:pPr>
        <w:pStyle w:val="5"/>
        <w:bidi w:val="0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  <w:lang w:eastAsia="zh-CN"/>
        </w:rPr>
        <w:t>赤峰市中心城区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</w:rPr>
        <w:t>基准地价内涵说明表</w:t>
      </w:r>
    </w:p>
    <w:tbl>
      <w:tblPr>
        <w:tblStyle w:val="9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9"/>
        <w:gridCol w:w="1444"/>
        <w:gridCol w:w="1263"/>
        <w:gridCol w:w="1547"/>
        <w:gridCol w:w="984"/>
        <w:gridCol w:w="955"/>
        <w:gridCol w:w="1194"/>
      </w:tblGrid>
      <w:tr w14:paraId="79044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922" w:type="pct"/>
            <w:tcBorders>
              <w:tl2br w:val="nil"/>
              <w:tr2bl w:val="nil"/>
            </w:tcBorders>
            <w:noWrap w:val="0"/>
            <w:vAlign w:val="center"/>
          </w:tcPr>
          <w:p w14:paraId="0B59BD05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用途</w:t>
            </w:r>
          </w:p>
        </w:tc>
        <w:tc>
          <w:tcPr>
            <w:tcW w:w="797" w:type="pct"/>
            <w:tcBorders>
              <w:tl2br w:val="nil"/>
              <w:tr2bl w:val="nil"/>
            </w:tcBorders>
            <w:noWrap w:val="0"/>
            <w:vAlign w:val="center"/>
          </w:tcPr>
          <w:p w14:paraId="1B4FCD08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商业服务业用地</w:t>
            </w:r>
          </w:p>
        </w:tc>
        <w:tc>
          <w:tcPr>
            <w:tcW w:w="697" w:type="pct"/>
            <w:tcBorders>
              <w:tl2br w:val="nil"/>
              <w:tr2bl w:val="nil"/>
            </w:tcBorders>
            <w:noWrap w:val="0"/>
            <w:vAlign w:val="center"/>
          </w:tcPr>
          <w:p w14:paraId="404FB459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居住用地</w:t>
            </w:r>
          </w:p>
        </w:tc>
        <w:tc>
          <w:tcPr>
            <w:tcW w:w="854" w:type="pct"/>
            <w:tcBorders>
              <w:tl2br w:val="nil"/>
              <w:tr2bl w:val="nil"/>
            </w:tcBorders>
            <w:noWrap w:val="0"/>
            <w:vAlign w:val="center"/>
          </w:tcPr>
          <w:p w14:paraId="0C624935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公共管理与公共服务</w:t>
            </w:r>
          </w:p>
          <w:p w14:paraId="3C888A79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用地</w:t>
            </w:r>
          </w:p>
        </w:tc>
        <w:tc>
          <w:tcPr>
            <w:tcW w:w="543" w:type="pct"/>
            <w:tcBorders>
              <w:tl2br w:val="nil"/>
              <w:tr2bl w:val="nil"/>
            </w:tcBorders>
            <w:noWrap w:val="0"/>
            <w:vAlign w:val="center"/>
          </w:tcPr>
          <w:p w14:paraId="029E920B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工矿</w:t>
            </w:r>
          </w:p>
          <w:p w14:paraId="12C4CD06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用地</w:t>
            </w:r>
          </w:p>
        </w:tc>
        <w:tc>
          <w:tcPr>
            <w:tcW w:w="527" w:type="pct"/>
            <w:tcBorders>
              <w:tl2br w:val="nil"/>
              <w:tr2bl w:val="nil"/>
            </w:tcBorders>
            <w:noWrap w:val="0"/>
            <w:vAlign w:val="center"/>
          </w:tcPr>
          <w:p w14:paraId="6C6BA842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仓储</w:t>
            </w:r>
          </w:p>
          <w:p w14:paraId="2999977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用地</w:t>
            </w:r>
          </w:p>
        </w:tc>
        <w:tc>
          <w:tcPr>
            <w:tcW w:w="657" w:type="pct"/>
            <w:tcBorders>
              <w:tl2br w:val="nil"/>
              <w:tr2bl w:val="nil"/>
            </w:tcBorders>
            <w:noWrap w:val="0"/>
            <w:vAlign w:val="center"/>
          </w:tcPr>
          <w:p w14:paraId="5256C428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公用设施用地</w:t>
            </w:r>
          </w:p>
        </w:tc>
      </w:tr>
      <w:tr w14:paraId="311D4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22" w:type="pct"/>
            <w:tcBorders>
              <w:tl2br w:val="nil"/>
              <w:tr2bl w:val="nil"/>
            </w:tcBorders>
            <w:noWrap w:val="0"/>
            <w:vAlign w:val="center"/>
          </w:tcPr>
          <w:p w14:paraId="195D9B10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设定容积率</w:t>
            </w:r>
          </w:p>
        </w:tc>
        <w:tc>
          <w:tcPr>
            <w:tcW w:w="797" w:type="pct"/>
            <w:tcBorders>
              <w:tl2br w:val="nil"/>
              <w:tr2bl w:val="nil"/>
            </w:tcBorders>
            <w:noWrap w:val="0"/>
            <w:vAlign w:val="center"/>
          </w:tcPr>
          <w:p w14:paraId="114E06EC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2.5</w:t>
            </w:r>
          </w:p>
        </w:tc>
        <w:tc>
          <w:tcPr>
            <w:tcW w:w="697" w:type="pct"/>
            <w:tcBorders>
              <w:tl2br w:val="nil"/>
              <w:tr2bl w:val="nil"/>
            </w:tcBorders>
            <w:noWrap w:val="0"/>
            <w:vAlign w:val="center"/>
          </w:tcPr>
          <w:p w14:paraId="47053614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2.0</w:t>
            </w:r>
          </w:p>
        </w:tc>
        <w:tc>
          <w:tcPr>
            <w:tcW w:w="854" w:type="pct"/>
            <w:tcBorders>
              <w:tl2br w:val="nil"/>
              <w:tr2bl w:val="nil"/>
            </w:tcBorders>
            <w:noWrap w:val="0"/>
            <w:vAlign w:val="center"/>
          </w:tcPr>
          <w:p w14:paraId="5723E7F1">
            <w:pPr>
              <w:pStyle w:val="14"/>
              <w:bidi w:val="0"/>
              <w:ind w:firstLine="0" w:firstLineChars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2.0</w:t>
            </w:r>
          </w:p>
        </w:tc>
        <w:tc>
          <w:tcPr>
            <w:tcW w:w="543" w:type="pct"/>
            <w:tcBorders>
              <w:tl2br w:val="nil"/>
              <w:tr2bl w:val="nil"/>
            </w:tcBorders>
            <w:noWrap w:val="0"/>
            <w:vAlign w:val="center"/>
          </w:tcPr>
          <w:p w14:paraId="46409A41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0.8</w:t>
            </w:r>
          </w:p>
        </w:tc>
        <w:tc>
          <w:tcPr>
            <w:tcW w:w="527" w:type="pct"/>
            <w:tcBorders>
              <w:tl2br w:val="nil"/>
              <w:tr2bl w:val="nil"/>
            </w:tcBorders>
            <w:noWrap w:val="0"/>
            <w:vAlign w:val="center"/>
          </w:tcPr>
          <w:p w14:paraId="68C09E3B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0.8</w:t>
            </w:r>
          </w:p>
        </w:tc>
        <w:tc>
          <w:tcPr>
            <w:tcW w:w="657" w:type="pct"/>
            <w:tcBorders>
              <w:tl2br w:val="nil"/>
              <w:tr2bl w:val="nil"/>
            </w:tcBorders>
            <w:noWrap w:val="0"/>
            <w:vAlign w:val="center"/>
          </w:tcPr>
          <w:p w14:paraId="05F17484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0.8</w:t>
            </w:r>
          </w:p>
        </w:tc>
      </w:tr>
      <w:tr w14:paraId="3714E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22" w:type="pct"/>
            <w:tcBorders>
              <w:tl2br w:val="nil"/>
              <w:tr2bl w:val="nil"/>
            </w:tcBorders>
            <w:noWrap w:val="0"/>
            <w:vAlign w:val="center"/>
          </w:tcPr>
          <w:p w14:paraId="21E0317B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土地开发程度</w:t>
            </w:r>
          </w:p>
        </w:tc>
        <w:tc>
          <w:tcPr>
            <w:tcW w:w="797" w:type="pct"/>
            <w:tcBorders>
              <w:tl2br w:val="nil"/>
              <w:tr2bl w:val="nil"/>
            </w:tcBorders>
            <w:noWrap w:val="0"/>
            <w:vAlign w:val="center"/>
          </w:tcPr>
          <w:p w14:paraId="4DB44DBE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七通一平</w:t>
            </w:r>
          </w:p>
        </w:tc>
        <w:tc>
          <w:tcPr>
            <w:tcW w:w="697" w:type="pct"/>
            <w:tcBorders>
              <w:tl2br w:val="nil"/>
              <w:tr2bl w:val="nil"/>
            </w:tcBorders>
            <w:noWrap w:val="0"/>
            <w:vAlign w:val="center"/>
          </w:tcPr>
          <w:p w14:paraId="708E5C3F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七通一平</w:t>
            </w:r>
          </w:p>
        </w:tc>
        <w:tc>
          <w:tcPr>
            <w:tcW w:w="854" w:type="pct"/>
            <w:tcBorders>
              <w:tl2br w:val="nil"/>
              <w:tr2bl w:val="nil"/>
            </w:tcBorders>
            <w:noWrap w:val="0"/>
            <w:vAlign w:val="center"/>
          </w:tcPr>
          <w:p w14:paraId="5BD6F022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七通一平</w:t>
            </w:r>
          </w:p>
        </w:tc>
        <w:tc>
          <w:tcPr>
            <w:tcW w:w="543" w:type="pct"/>
            <w:tcBorders>
              <w:tl2br w:val="nil"/>
              <w:tr2bl w:val="nil"/>
            </w:tcBorders>
            <w:noWrap w:val="0"/>
            <w:vAlign w:val="center"/>
          </w:tcPr>
          <w:p w14:paraId="5DB5712F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六通一平</w:t>
            </w:r>
          </w:p>
        </w:tc>
        <w:tc>
          <w:tcPr>
            <w:tcW w:w="527" w:type="pct"/>
            <w:tcBorders>
              <w:tl2br w:val="nil"/>
              <w:tr2bl w:val="nil"/>
            </w:tcBorders>
            <w:noWrap w:val="0"/>
            <w:vAlign w:val="center"/>
          </w:tcPr>
          <w:p w14:paraId="5386D3FC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六通一平</w:t>
            </w:r>
          </w:p>
        </w:tc>
        <w:tc>
          <w:tcPr>
            <w:tcW w:w="657" w:type="pct"/>
            <w:tcBorders>
              <w:tl2br w:val="nil"/>
              <w:tr2bl w:val="nil"/>
            </w:tcBorders>
            <w:noWrap w:val="0"/>
            <w:vAlign w:val="center"/>
          </w:tcPr>
          <w:p w14:paraId="6C29B6F9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六通一平</w:t>
            </w:r>
          </w:p>
        </w:tc>
      </w:tr>
      <w:tr w14:paraId="4EFFE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22" w:type="pct"/>
            <w:tcBorders>
              <w:tl2br w:val="nil"/>
              <w:tr2bl w:val="nil"/>
            </w:tcBorders>
            <w:noWrap w:val="0"/>
            <w:vAlign w:val="center"/>
          </w:tcPr>
          <w:p w14:paraId="268C195A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土地使用年期（年）</w:t>
            </w:r>
          </w:p>
        </w:tc>
        <w:tc>
          <w:tcPr>
            <w:tcW w:w="797" w:type="pct"/>
            <w:tcBorders>
              <w:tl2br w:val="nil"/>
              <w:tr2bl w:val="nil"/>
            </w:tcBorders>
            <w:noWrap w:val="0"/>
            <w:vAlign w:val="center"/>
          </w:tcPr>
          <w:p w14:paraId="175EF6C2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40</w:t>
            </w:r>
          </w:p>
        </w:tc>
        <w:tc>
          <w:tcPr>
            <w:tcW w:w="697" w:type="pct"/>
            <w:tcBorders>
              <w:tl2br w:val="nil"/>
              <w:tr2bl w:val="nil"/>
            </w:tcBorders>
            <w:noWrap w:val="0"/>
            <w:vAlign w:val="center"/>
          </w:tcPr>
          <w:p w14:paraId="4351BF0E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70</w:t>
            </w:r>
          </w:p>
        </w:tc>
        <w:tc>
          <w:tcPr>
            <w:tcW w:w="854" w:type="pct"/>
            <w:tcBorders>
              <w:tl2br w:val="nil"/>
              <w:tr2bl w:val="nil"/>
            </w:tcBorders>
            <w:noWrap w:val="0"/>
            <w:vAlign w:val="center"/>
          </w:tcPr>
          <w:p w14:paraId="2CB5B636">
            <w:pPr>
              <w:pStyle w:val="14"/>
              <w:bidi w:val="0"/>
              <w:ind w:firstLine="0" w:firstLineChars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543" w:type="pct"/>
            <w:tcBorders>
              <w:tl2br w:val="nil"/>
              <w:tr2bl w:val="nil"/>
            </w:tcBorders>
            <w:noWrap w:val="0"/>
            <w:vAlign w:val="center"/>
          </w:tcPr>
          <w:p w14:paraId="4C14CA5D">
            <w:pPr>
              <w:pStyle w:val="14"/>
              <w:bidi w:val="0"/>
              <w:ind w:firstLine="0" w:firstLineChars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527" w:type="pct"/>
            <w:tcBorders>
              <w:tl2br w:val="nil"/>
              <w:tr2bl w:val="nil"/>
            </w:tcBorders>
            <w:noWrap w:val="0"/>
            <w:vAlign w:val="center"/>
          </w:tcPr>
          <w:p w14:paraId="2D7D736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657" w:type="pct"/>
            <w:tcBorders>
              <w:tl2br w:val="nil"/>
              <w:tr2bl w:val="nil"/>
            </w:tcBorders>
            <w:noWrap w:val="0"/>
            <w:vAlign w:val="center"/>
          </w:tcPr>
          <w:p w14:paraId="0CA76CE7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50</w:t>
            </w:r>
          </w:p>
        </w:tc>
      </w:tr>
      <w:tr w14:paraId="42152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22" w:type="pct"/>
            <w:tcBorders>
              <w:tl2br w:val="nil"/>
              <w:tr2bl w:val="nil"/>
            </w:tcBorders>
            <w:noWrap w:val="0"/>
            <w:vAlign w:val="center"/>
          </w:tcPr>
          <w:p w14:paraId="13CA505C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估价期日</w:t>
            </w:r>
          </w:p>
        </w:tc>
        <w:tc>
          <w:tcPr>
            <w:tcW w:w="4077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73289F75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2024年1月1日</w:t>
            </w:r>
          </w:p>
        </w:tc>
      </w:tr>
    </w:tbl>
    <w:p w14:paraId="76907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楷体" w:hAnsi="楷体" w:eastAsia="楷体"/>
          <w:sz w:val="28"/>
          <w:szCs w:val="28"/>
          <w:highlight w:val="none"/>
        </w:rPr>
      </w:pPr>
      <w:r>
        <w:rPr>
          <w:rFonts w:hint="eastAsia" w:ascii="楷体" w:hAnsi="楷体" w:eastAsia="楷体"/>
          <w:sz w:val="28"/>
          <w:szCs w:val="28"/>
          <w:highlight w:val="none"/>
        </w:rPr>
        <w:t>注：“七通一平”</w:t>
      </w:r>
      <w:r>
        <w:rPr>
          <w:rFonts w:ascii="楷体" w:hAnsi="楷体" w:eastAsia="楷体"/>
          <w:sz w:val="28"/>
          <w:szCs w:val="28"/>
          <w:highlight w:val="none"/>
        </w:rPr>
        <w:t>为宗地红线外通路、通电、通上水、通下水、通</w:t>
      </w:r>
      <w:r>
        <w:rPr>
          <w:rFonts w:hint="eastAsia" w:ascii="楷体" w:hAnsi="楷体" w:eastAsia="楷体"/>
          <w:sz w:val="28"/>
          <w:szCs w:val="28"/>
          <w:highlight w:val="none"/>
          <w:lang w:val="en-US" w:eastAsia="zh-CN"/>
        </w:rPr>
        <w:t>暖</w:t>
      </w:r>
      <w:r>
        <w:rPr>
          <w:rFonts w:ascii="楷体" w:hAnsi="楷体" w:eastAsia="楷体"/>
          <w:sz w:val="28"/>
          <w:szCs w:val="28"/>
          <w:highlight w:val="none"/>
        </w:rPr>
        <w:t>、通气、通讯及宗地内场地平整</w:t>
      </w:r>
      <w:r>
        <w:rPr>
          <w:rFonts w:hint="eastAsia" w:ascii="楷体" w:hAnsi="楷体" w:eastAsia="楷体"/>
          <w:sz w:val="28"/>
          <w:szCs w:val="28"/>
          <w:highlight w:val="none"/>
        </w:rPr>
        <w:t>；“</w:t>
      </w:r>
      <w:r>
        <w:rPr>
          <w:rFonts w:hint="eastAsia" w:ascii="楷体" w:hAnsi="楷体" w:eastAsia="楷体"/>
          <w:sz w:val="28"/>
          <w:szCs w:val="28"/>
          <w:highlight w:val="none"/>
          <w:lang w:val="en-US" w:eastAsia="zh-CN"/>
        </w:rPr>
        <w:t>六</w:t>
      </w:r>
      <w:r>
        <w:rPr>
          <w:rFonts w:hint="eastAsia" w:ascii="楷体" w:hAnsi="楷体" w:eastAsia="楷体"/>
          <w:sz w:val="28"/>
          <w:szCs w:val="28"/>
          <w:highlight w:val="none"/>
        </w:rPr>
        <w:t>通一平”</w:t>
      </w:r>
      <w:r>
        <w:rPr>
          <w:rFonts w:ascii="楷体" w:hAnsi="楷体" w:eastAsia="楷体"/>
          <w:sz w:val="28"/>
          <w:szCs w:val="28"/>
          <w:highlight w:val="none"/>
        </w:rPr>
        <w:t>为宗地红线外通路、通电、通上水、通下水</w:t>
      </w:r>
      <w:r>
        <w:rPr>
          <w:rFonts w:hint="eastAsia" w:ascii="楷体" w:hAnsi="楷体" w:eastAsia="楷体"/>
          <w:sz w:val="28"/>
          <w:szCs w:val="28"/>
          <w:highlight w:val="none"/>
        </w:rPr>
        <w:t>、通讯</w:t>
      </w:r>
      <w:r>
        <w:rPr>
          <w:rFonts w:hint="eastAsia" w:ascii="楷体" w:hAnsi="楷体" w:eastAsia="楷体"/>
          <w:sz w:val="28"/>
          <w:szCs w:val="28"/>
          <w:highlight w:val="none"/>
          <w:lang w:eastAsia="zh-CN"/>
        </w:rPr>
        <w:t>、</w:t>
      </w:r>
      <w:r>
        <w:rPr>
          <w:rFonts w:hint="eastAsia" w:ascii="楷体" w:hAnsi="楷体" w:eastAsia="楷体"/>
          <w:sz w:val="28"/>
          <w:szCs w:val="28"/>
          <w:highlight w:val="none"/>
          <w:lang w:val="en-US" w:eastAsia="zh-CN"/>
        </w:rPr>
        <w:t>通暖</w:t>
      </w:r>
      <w:r>
        <w:rPr>
          <w:rFonts w:ascii="楷体" w:hAnsi="楷体" w:eastAsia="楷体"/>
          <w:sz w:val="28"/>
          <w:szCs w:val="28"/>
          <w:highlight w:val="none"/>
        </w:rPr>
        <w:t>及宗地内场地平整</w:t>
      </w:r>
      <w:r>
        <w:rPr>
          <w:rFonts w:hint="eastAsia" w:ascii="楷体" w:hAnsi="楷体" w:eastAsia="楷体"/>
          <w:sz w:val="28"/>
          <w:szCs w:val="28"/>
          <w:highlight w:val="none"/>
        </w:rPr>
        <w:t>。</w:t>
      </w:r>
    </w:p>
    <w:p w14:paraId="2144032D">
      <w:pPr>
        <w:pStyle w:val="5"/>
        <w:bidi w:val="0"/>
        <w:rPr>
          <w:rFonts w:hint="eastAsia"/>
          <w:highlight w:val="none"/>
        </w:rPr>
      </w:pPr>
    </w:p>
    <w:p w14:paraId="1F04885E">
      <w:pPr>
        <w:rPr>
          <w:rFonts w:hint="eastAsia"/>
          <w:highlight w:val="none"/>
        </w:rPr>
      </w:pPr>
    </w:p>
    <w:p w14:paraId="1E4FFE60">
      <w:pPr>
        <w:rPr>
          <w:rFonts w:hint="eastAsia"/>
          <w:highlight w:val="none"/>
        </w:rPr>
      </w:pPr>
    </w:p>
    <w:p w14:paraId="19AC9883">
      <w:pPr>
        <w:rPr>
          <w:rFonts w:hint="eastAsia"/>
          <w:highlight w:val="none"/>
        </w:rPr>
      </w:pPr>
    </w:p>
    <w:p w14:paraId="62CC1E4A">
      <w:pPr>
        <w:rPr>
          <w:rFonts w:hint="eastAsia"/>
          <w:highlight w:val="none"/>
        </w:rPr>
      </w:pPr>
    </w:p>
    <w:p w14:paraId="7410222B">
      <w:pPr>
        <w:rPr>
          <w:rFonts w:hint="eastAsia"/>
          <w:highlight w:val="none"/>
        </w:rPr>
      </w:pPr>
    </w:p>
    <w:p w14:paraId="15F71C10">
      <w:pPr>
        <w:rPr>
          <w:rFonts w:hint="eastAsia"/>
          <w:highlight w:val="none"/>
        </w:rPr>
      </w:pPr>
    </w:p>
    <w:p w14:paraId="198B8BA9">
      <w:pPr>
        <w:rPr>
          <w:rFonts w:hint="eastAsia"/>
          <w:highlight w:val="none"/>
        </w:rPr>
      </w:pPr>
    </w:p>
    <w:p w14:paraId="336F7EA1">
      <w:pPr>
        <w:rPr>
          <w:rFonts w:hint="eastAsia"/>
          <w:highlight w:val="none"/>
        </w:rPr>
      </w:pPr>
    </w:p>
    <w:p w14:paraId="41F444A6">
      <w:pPr>
        <w:rPr>
          <w:rFonts w:hint="eastAsia"/>
          <w:highlight w:val="none"/>
        </w:rPr>
      </w:pPr>
    </w:p>
    <w:p w14:paraId="7B549A1B">
      <w:pPr>
        <w:rPr>
          <w:rFonts w:hint="eastAsia"/>
          <w:highlight w:val="none"/>
        </w:rPr>
      </w:pPr>
    </w:p>
    <w:p w14:paraId="357D8C0A">
      <w:pPr>
        <w:rPr>
          <w:rFonts w:hint="eastAsia"/>
          <w:highlight w:val="none"/>
        </w:rPr>
      </w:pPr>
    </w:p>
    <w:p w14:paraId="493DB156">
      <w:pPr>
        <w:rPr>
          <w:rFonts w:hint="eastAsia"/>
          <w:highlight w:val="none"/>
        </w:rPr>
      </w:pPr>
    </w:p>
    <w:p w14:paraId="06BBD42C">
      <w:pPr>
        <w:rPr>
          <w:rFonts w:hint="eastAsia"/>
          <w:highlight w:val="none"/>
        </w:rPr>
      </w:pPr>
    </w:p>
    <w:p w14:paraId="3945D4D7">
      <w:pPr>
        <w:rPr>
          <w:rFonts w:hint="eastAsia"/>
          <w:highlight w:val="none"/>
        </w:rPr>
      </w:pPr>
    </w:p>
    <w:p w14:paraId="74806374">
      <w:pPr>
        <w:rPr>
          <w:rFonts w:hint="eastAsia"/>
          <w:highlight w:val="none"/>
        </w:rPr>
      </w:pPr>
    </w:p>
    <w:p w14:paraId="32CBB393">
      <w:pPr>
        <w:rPr>
          <w:rFonts w:hint="eastAsia"/>
          <w:highlight w:val="none"/>
        </w:rPr>
      </w:pPr>
    </w:p>
    <w:p w14:paraId="7D93C1D1">
      <w:pPr>
        <w:pStyle w:val="5"/>
        <w:bidi w:val="0"/>
        <w:jc w:val="both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2</w:t>
      </w:r>
    </w:p>
    <w:p w14:paraId="5B637CD8">
      <w:pPr>
        <w:rPr>
          <w:rFonts w:hint="eastAsia"/>
          <w:lang w:eastAsia="zh-CN"/>
        </w:rPr>
      </w:pPr>
    </w:p>
    <w:p w14:paraId="39549692">
      <w:pPr>
        <w:pStyle w:val="5"/>
        <w:bidi w:val="0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  <w:lang w:eastAsia="zh-CN"/>
        </w:rPr>
        <w:t>赤峰市中心城区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  <w:lang w:val="en-US" w:eastAsia="zh-CN"/>
        </w:rPr>
        <w:t>各类用地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  <w:lang w:eastAsia="zh-CN"/>
        </w:rPr>
        <w:t>基准地价表</w:t>
      </w:r>
    </w:p>
    <w:tbl>
      <w:tblPr>
        <w:tblStyle w:val="9"/>
        <w:tblW w:w="4997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874"/>
        <w:gridCol w:w="1326"/>
        <w:gridCol w:w="1063"/>
        <w:gridCol w:w="1019"/>
        <w:gridCol w:w="961"/>
        <w:gridCol w:w="874"/>
        <w:gridCol w:w="994"/>
        <w:gridCol w:w="910"/>
      </w:tblGrid>
      <w:tr w14:paraId="7AE20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tcBorders>
              <w:tl2br w:val="nil"/>
              <w:tr2bl w:val="nil"/>
            </w:tcBorders>
            <w:noWrap w:val="0"/>
            <w:vAlign w:val="center"/>
          </w:tcPr>
          <w:p w14:paraId="2839146E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用途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539D9CDF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价格类型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672FCA53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单位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732B3445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Ⅰ级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208F800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Ⅱ级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33E728F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Ⅲ级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273D71B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Ⅳ级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3247C49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V级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1BA3396E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VI级</w:t>
            </w:r>
          </w:p>
        </w:tc>
      </w:tr>
      <w:tr w14:paraId="5F419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B2A32C0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商业服务业</w:t>
            </w:r>
          </w:p>
          <w:p w14:paraId="0730AFA6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用地</w:t>
            </w:r>
          </w:p>
        </w:tc>
        <w:tc>
          <w:tcPr>
            <w:tcW w:w="48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E923DE9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地面地价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49413B1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79076A47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3348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7A02F80B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2500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00126AE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1750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17035B8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990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048937C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500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6ED82505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320 </w:t>
            </w:r>
          </w:p>
        </w:tc>
      </w:tr>
      <w:tr w14:paraId="04F39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040E87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C79DE1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2A590D66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万元/亩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1309803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223.20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5A8D009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166.67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368346A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116.67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0C6F771F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66.00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3000872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33.33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748B4D87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21.33 </w:t>
            </w:r>
          </w:p>
        </w:tc>
      </w:tr>
      <w:tr w14:paraId="3E5E88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CE49408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3AF1A51A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楼面地价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589E344F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</w:t>
            </w: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建筑m²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33CF18E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1339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3D63C6C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1000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78A447A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700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0BA47FAE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396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5CDBB49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200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63670D44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128 </w:t>
            </w:r>
          </w:p>
        </w:tc>
      </w:tr>
      <w:tr w14:paraId="4A547A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B4AECDF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居住</w:t>
            </w:r>
          </w:p>
          <w:p w14:paraId="2EFFB65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用地</w:t>
            </w:r>
          </w:p>
        </w:tc>
        <w:tc>
          <w:tcPr>
            <w:tcW w:w="48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63AC6BE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地面地价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4C42BDD6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2E9B102F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2091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0229498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1555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4D82A4B5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1200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740BE19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698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33FD32E7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410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4E2474B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 /</w:t>
            </w:r>
          </w:p>
        </w:tc>
      </w:tr>
      <w:tr w14:paraId="2FCE5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C8EAD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1DDBE3F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5A654864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万元/亩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26C76EF5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139.40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728FCA8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103.67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1CB23EA9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80.00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35095977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46.5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2C0BC66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27.33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463DF848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1E6BC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248180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3D938B87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楼面地价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4D7C095F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</w:t>
            </w: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建筑m²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59D5B434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1046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2876F7EE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778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3B958FEF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600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21017C7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349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05DD058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205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66897D4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11CDB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998C0C5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公共管理与公共服务用地</w:t>
            </w:r>
          </w:p>
        </w:tc>
        <w:tc>
          <w:tcPr>
            <w:tcW w:w="48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7DF37A4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地面地价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56E9F80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42DD212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1483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3CAD00AF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1086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33AE90C6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834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231A5C34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482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7716BE4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300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4F3DB519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49C1E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BA2851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9F3930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2722810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万元/亩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1A028D18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98.87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081D3168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72.40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2845935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55.60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258C569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32.13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0D808C16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20.00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5691A7D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3DFFE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74B6818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7FF78A0C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楼面地价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3B197037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</w:t>
            </w: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建筑m²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2F5E744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742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6CC5C2F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543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5DA8F9D9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417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42FE4FD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241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1C95032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150 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1778986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108A36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restart"/>
            <w:tcBorders>
              <w:tl2br w:val="nil"/>
              <w:tr2bl w:val="nil"/>
            </w:tcBorders>
            <w:noWrap/>
            <w:vAlign w:val="center"/>
          </w:tcPr>
          <w:p w14:paraId="08717C58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工矿</w:t>
            </w:r>
          </w:p>
          <w:p w14:paraId="3B849D14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用地</w:t>
            </w:r>
          </w:p>
        </w:tc>
        <w:tc>
          <w:tcPr>
            <w:tcW w:w="48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419FDD8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地面地价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3D9ABF6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7F42303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1196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5894857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625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2D7E934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397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0946D8E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206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7ABCD92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78CE76D6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428B3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 w14:paraId="11B2569A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758BC8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55D00AC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万元/亩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1520A344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79.73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1C10E8B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41.67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19D6331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26.47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3CCB61C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13.73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 w:val="0"/>
            <w:vAlign w:val="center"/>
          </w:tcPr>
          <w:p w14:paraId="71DBB6D6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 w:val="0"/>
            <w:vAlign w:val="center"/>
          </w:tcPr>
          <w:p w14:paraId="52C2BF0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21317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94CCDE6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仓储</w:t>
            </w:r>
          </w:p>
          <w:p w14:paraId="5656DFD3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用地</w:t>
            </w:r>
          </w:p>
        </w:tc>
        <w:tc>
          <w:tcPr>
            <w:tcW w:w="48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AB53CB7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地面地价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4DFC94CF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45C89A6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1196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730E204E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625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3D2464E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397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1A2C2D85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206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/>
            <w:vAlign w:val="center"/>
          </w:tcPr>
          <w:p w14:paraId="0D2EBCBD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/>
            <w:vAlign w:val="center"/>
          </w:tcPr>
          <w:p w14:paraId="1C99720B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1201E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1CB909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63EAFB7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353B2F1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万元/亩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1EF5EB77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79.73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12A61129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41.67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69E5954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26.47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5F796B50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13.73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/>
            <w:vAlign w:val="center"/>
          </w:tcPr>
          <w:p w14:paraId="311BF4ED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/>
            <w:vAlign w:val="center"/>
          </w:tcPr>
          <w:p w14:paraId="060D2493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5D198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0E8E0358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公用设施用地</w:t>
            </w:r>
          </w:p>
        </w:tc>
        <w:tc>
          <w:tcPr>
            <w:tcW w:w="48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88B2058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地面地价</w:t>
            </w: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6E80947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元/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m²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1AC5A3E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1081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0F86677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647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7172C83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433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1B56C68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241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/>
            <w:vAlign w:val="center"/>
          </w:tcPr>
          <w:p w14:paraId="7B83E5CC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/>
            <w:vAlign w:val="center"/>
          </w:tcPr>
          <w:p w14:paraId="1AE0A198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  <w:tr w14:paraId="615B6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57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52A7CF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18C450D">
            <w:pPr>
              <w:pStyle w:val="14"/>
              <w:bidi w:val="0"/>
              <w:rPr>
                <w:rFonts w:hint="eastAsia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2" w:type="pct"/>
            <w:tcBorders>
              <w:tl2br w:val="nil"/>
              <w:tr2bl w:val="nil"/>
            </w:tcBorders>
            <w:noWrap w:val="0"/>
            <w:vAlign w:val="center"/>
          </w:tcPr>
          <w:p w14:paraId="52ED5802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万元/亩</w:t>
            </w:r>
          </w:p>
        </w:tc>
        <w:tc>
          <w:tcPr>
            <w:tcW w:w="586" w:type="pct"/>
            <w:tcBorders>
              <w:tl2br w:val="nil"/>
              <w:tr2bl w:val="nil"/>
            </w:tcBorders>
            <w:noWrap w:val="0"/>
            <w:vAlign w:val="center"/>
          </w:tcPr>
          <w:p w14:paraId="2AB2CE7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72.07 </w:t>
            </w:r>
          </w:p>
        </w:tc>
        <w:tc>
          <w:tcPr>
            <w:tcW w:w="562" w:type="pct"/>
            <w:tcBorders>
              <w:tl2br w:val="nil"/>
              <w:tr2bl w:val="nil"/>
            </w:tcBorders>
            <w:noWrap w:val="0"/>
            <w:vAlign w:val="center"/>
          </w:tcPr>
          <w:p w14:paraId="41874B97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43.13 </w:t>
            </w:r>
          </w:p>
        </w:tc>
        <w:tc>
          <w:tcPr>
            <w:tcW w:w="530" w:type="pct"/>
            <w:tcBorders>
              <w:tl2br w:val="nil"/>
              <w:tr2bl w:val="nil"/>
            </w:tcBorders>
            <w:noWrap w:val="0"/>
            <w:vAlign w:val="center"/>
          </w:tcPr>
          <w:p w14:paraId="603962FD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28.87 </w:t>
            </w:r>
          </w:p>
        </w:tc>
        <w:tc>
          <w:tcPr>
            <w:tcW w:w="482" w:type="pct"/>
            <w:tcBorders>
              <w:tl2br w:val="nil"/>
              <w:tr2bl w:val="nil"/>
            </w:tcBorders>
            <w:noWrap w:val="0"/>
            <w:vAlign w:val="center"/>
          </w:tcPr>
          <w:p w14:paraId="2C8759B1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 xml:space="preserve">16.07 </w:t>
            </w:r>
          </w:p>
        </w:tc>
        <w:tc>
          <w:tcPr>
            <w:tcW w:w="548" w:type="pct"/>
            <w:tcBorders>
              <w:tl2br w:val="nil"/>
              <w:tr2bl w:val="nil"/>
            </w:tcBorders>
            <w:noWrap/>
            <w:vAlign w:val="center"/>
          </w:tcPr>
          <w:p w14:paraId="21D4738A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502" w:type="pct"/>
            <w:tcBorders>
              <w:tl2br w:val="nil"/>
              <w:tr2bl w:val="nil"/>
            </w:tcBorders>
            <w:noWrap/>
            <w:vAlign w:val="center"/>
          </w:tcPr>
          <w:p w14:paraId="352E61A3">
            <w:pPr>
              <w:pStyle w:val="14"/>
              <w:bidi w:val="0"/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pacing w:val="0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</w:tbl>
    <w:p w14:paraId="036CA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/>
          <w:sz w:val="18"/>
          <w:szCs w:val="18"/>
          <w:highlight w:val="none"/>
          <w:lang w:eastAsia="zh-CN"/>
        </w:rPr>
      </w:pPr>
    </w:p>
    <w:p w14:paraId="0A7BC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/>
          <w:sz w:val="18"/>
          <w:szCs w:val="18"/>
          <w:highlight w:val="none"/>
          <w:lang w:eastAsia="zh-CN"/>
        </w:rPr>
      </w:pPr>
    </w:p>
    <w:p w14:paraId="16FCF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/>
          <w:sz w:val="18"/>
          <w:szCs w:val="18"/>
          <w:highlight w:val="none"/>
          <w:lang w:eastAsia="zh-CN"/>
        </w:rPr>
      </w:pPr>
    </w:p>
    <w:p w14:paraId="1CA92AA7">
      <w:pPr>
        <w:pStyle w:val="5"/>
        <w:bidi w:val="0"/>
        <w:jc w:val="both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3</w:t>
      </w:r>
    </w:p>
    <w:p w14:paraId="534B882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pict>
          <v:shape id="_x0000_i1025" o:spt="75" alt="3-1.赤峰市中心城区商业服务业用地级别基准地价图" type="#_x0000_t75" style="height:531.5pt;width:414.35pt;" filled="f" o:preferrelative="t" stroked="f" coordsize="21600,21600">
            <v:path/>
            <v:fill on="f" focussize="0,0"/>
            <v:stroke on="f"/>
            <v:imagedata r:id="rId8" o:title="3-1.赤峰市中心城区商业服务业用地级别基准地价图"/>
            <o:lock v:ext="edit" aspectratio="t"/>
            <w10:wrap type="none"/>
            <w10:anchorlock/>
          </v:shape>
        </w:pict>
      </w:r>
    </w:p>
    <w:p w14:paraId="4B841DCA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2D046654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0163E7EF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7E106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楷体" w:hAnsi="楷体" w:eastAsia="楷体"/>
          <w:sz w:val="18"/>
          <w:szCs w:val="18"/>
          <w:highlight w:val="none"/>
          <w:lang w:eastAsia="zh-CN"/>
        </w:rPr>
        <w:pict>
          <v:shape id="_x0000_i1026" o:spt="75" alt="3-2.赤峰市中心城区居住用地级别基准地价图" type="#_x0000_t75" style="height:457.85pt;width:414.35pt;" filled="f" o:preferrelative="t" stroked="f" coordsize="21600,21600">
            <v:path/>
            <v:fill on="f" focussize="0,0"/>
            <v:stroke on="f"/>
            <v:imagedata r:id="rId9" o:title="3-2.赤峰市中心城区居住用地级别基准地价图"/>
            <o:lock v:ext="edit" aspectratio="t"/>
            <w10:wrap type="none"/>
            <w10:anchorlock/>
          </v:shape>
        </w:pict>
      </w:r>
    </w:p>
    <w:p w14:paraId="7BF2E9A5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25BD2D35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6AF2DB77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29730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/>
          <w:sz w:val="18"/>
          <w:szCs w:val="18"/>
          <w:highlight w:val="none"/>
          <w:lang w:eastAsia="zh-CN"/>
        </w:rPr>
        <w:pict>
          <v:shape id="_x0000_i1027" o:spt="75" alt="3-3.赤峰市中心城区工矿用地级别基准地价图" type="#_x0000_t75" style="height:457.85pt;width:414.35pt;" filled="f" o:preferrelative="t" stroked="f" coordsize="21600,21600">
            <v:path/>
            <v:fill on="f" focussize="0,0"/>
            <v:stroke on="f"/>
            <v:imagedata r:id="rId10" o:title="3-3.赤峰市中心城区工矿用地级别基准地价图"/>
            <o:lock v:ext="edit" aspectratio="t"/>
            <w10:wrap type="none"/>
            <w10:anchorlock/>
          </v:shape>
        </w:pict>
      </w:r>
    </w:p>
    <w:p w14:paraId="404738D8">
      <w:pPr>
        <w:pStyle w:val="5"/>
        <w:bidi w:val="0"/>
        <w:jc w:val="both"/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236A99D1">
      <w:pPr>
        <w:pStyle w:val="5"/>
        <w:bidi w:val="0"/>
        <w:jc w:val="both"/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202699F6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6D1FCB06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0AA1899D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5637F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/>
          <w:sz w:val="18"/>
          <w:szCs w:val="18"/>
          <w:highlight w:val="none"/>
          <w:lang w:eastAsia="zh-CN"/>
        </w:rPr>
        <w:pict>
          <v:shape id="_x0000_i1028" o:spt="75" alt="3-4.赤峰市中心城区仓储用地级别基准地价图" type="#_x0000_t75" style="height:457.85pt;width:414.35pt;" filled="f" o:preferrelative="t" stroked="f" coordsize="21600,21600">
            <v:path/>
            <v:fill on="f" focussize="0,0"/>
            <v:stroke on="f"/>
            <v:imagedata r:id="rId11" o:title="3-4.赤峰市中心城区仓储用地级别基准地价图"/>
            <o:lock v:ext="edit" aspectratio="t"/>
            <w10:wrap type="none"/>
            <w10:anchorlock/>
          </v:shape>
        </w:pict>
      </w:r>
    </w:p>
    <w:p w14:paraId="72395BA3">
      <w:pPr>
        <w:pStyle w:val="5"/>
        <w:bidi w:val="0"/>
        <w:jc w:val="both"/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7F6191ED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222B24B8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01F4236B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7834BC03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120EC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/>
          <w:sz w:val="18"/>
          <w:szCs w:val="18"/>
          <w:highlight w:val="none"/>
          <w:lang w:eastAsia="zh-CN"/>
        </w:rPr>
        <w:pict>
          <v:shape id="_x0000_i1029" o:spt="75" alt="3-5.赤峰市中心城区公共管理与公共服务用地级别基准地价图" type="#_x0000_t75" style="height:457.85pt;width:414.35pt;" filled="f" o:preferrelative="t" stroked="f" coordsize="21600,21600">
            <v:path/>
            <v:fill on="f" focussize="0,0"/>
            <v:stroke on="f"/>
            <v:imagedata r:id="rId12" o:title="3-5.赤峰市中心城区公共管理与公共服务用地级别基准地价图"/>
            <o:lock v:ext="edit" aspectratio="t"/>
            <w10:wrap type="none"/>
            <w10:anchorlock/>
          </v:shape>
        </w:pict>
      </w:r>
    </w:p>
    <w:p w14:paraId="5230B168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16B3BCD">
      <w:pPr>
        <w:bidi w:val="0"/>
        <w:rPr>
          <w:rFonts w:hint="eastAsia"/>
          <w:lang w:val="en-US" w:eastAsia="zh-CN"/>
        </w:rPr>
      </w:pPr>
    </w:p>
    <w:p w14:paraId="2B62B151">
      <w:pPr>
        <w:bidi w:val="0"/>
        <w:rPr>
          <w:rFonts w:hint="eastAsia"/>
          <w:lang w:val="en-US" w:eastAsia="zh-CN"/>
        </w:rPr>
      </w:pPr>
    </w:p>
    <w:p w14:paraId="6A3D35A5">
      <w:pPr>
        <w:pStyle w:val="5"/>
        <w:bidi w:val="0"/>
        <w:jc w:val="both"/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69B2B061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72E8C34E">
      <w:pPr>
        <w:rPr>
          <w:rFonts w:hint="eastAsia"/>
          <w:b w:val="0"/>
          <w:bCs/>
          <w:sz w:val="32"/>
          <w:szCs w:val="32"/>
          <w:highlight w:val="none"/>
          <w:lang w:eastAsia="zh-CN"/>
        </w:rPr>
      </w:pPr>
    </w:p>
    <w:p w14:paraId="5E9BAD2A">
      <w:pPr>
        <w:tabs>
          <w:tab w:val="left" w:pos="707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pict>
          <v:shape id="_x0000_i1030" o:spt="75" alt="3-6.赤峰市中心城区公用设施用地级别基准地价图" type="#_x0000_t75" style="height:457.85pt;width:414.35pt;" filled="f" o:preferrelative="t" stroked="f" coordsize="21600,21600">
            <v:path/>
            <v:fill on="f" focussize="0,0"/>
            <v:stroke on="f"/>
            <v:imagedata r:id="rId13" o:title="3-6.赤峰市中心城区公用设施用地级别基准地价图"/>
            <o:lock v:ext="edit" aspectratio="t"/>
            <w10:wrap type="none"/>
            <w10:anchorlock/>
          </v:shape>
        </w:pict>
      </w:r>
    </w:p>
    <w:p w14:paraId="20CB0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000000"/>
          <w:spacing w:val="11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shd w:val="clear" w:color="auto" w:fill="FFFFFF"/>
          <w:lang w:val="en-US" w:eastAsia="zh-CN"/>
        </w:rPr>
        <w:t xml:space="preserve"> </w:t>
      </w:r>
    </w:p>
    <w:p w14:paraId="0B501CAD"/>
    <w:sectPr>
      <w:footerReference r:id="rId5" w:type="first"/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90493">
    <w:pPr>
      <w:pStyle w:val="6"/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2B5356"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right="420" w:rightChars="200"/>
                            <w:textAlignment w:val="auto"/>
                          </w:pP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tvqsp9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B2B5356">
                    <w:pPr>
                      <w:pStyle w:val="6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right="420" w:rightChars="200"/>
                      <w:textAlignment w:val="auto"/>
                    </w:pPr>
                    <w:r>
                      <w:rPr>
                        <w:rFonts w:hint="eastAsia" w:ascii="宋体" w:hAnsi="宋体" w:eastAsia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60D53">
    <w:pPr>
      <w:pStyle w:val="6"/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93BA3"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420" w:leftChars="200"/>
                            <w:textAlignment w:val="auto"/>
                          </w:pP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2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wDdsCN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793BA3">
                    <w:pPr>
                      <w:pStyle w:val="6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420" w:leftChars="200"/>
                      <w:textAlignment w:val="auto"/>
                    </w:pPr>
                    <w:r>
                      <w:rPr>
                        <w:rFonts w:hint="eastAsia" w:ascii="宋体" w:hAnsi="宋体" w:eastAsia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pPr w:leftFromText="181" w:rightFromText="181" w:vertAnchor="page" w:horzAnchor="page" w:tblpX="1700" w:tblpY="15393"/>
      <w:tblW w:w="8840" w:type="dxa"/>
      <w:jc w:val="center"/>
      <w:tblBorders>
        <w:top w:val="none" w:color="auto" w:sz="0" w:space="0"/>
        <w:left w:val="none" w:color="auto" w:sz="0" w:space="0"/>
        <w:bottom w:val="single" w:color="FF0000" w:sz="36" w:space="0"/>
        <w:right w:val="none" w:color="auto" w:sz="0" w:space="0"/>
        <w:insideH w:val="none" w:color="auto" w:sz="0" w:space="0"/>
        <w:insideV w:val="single" w:color="FF0000" w:sz="3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8840"/>
    </w:tblGrid>
    <w:tr w14:paraId="542E923C">
      <w:tblPrEx>
        <w:tblBorders>
          <w:top w:val="none" w:color="auto" w:sz="0" w:space="0"/>
          <w:left w:val="none" w:color="auto" w:sz="0" w:space="0"/>
          <w:bottom w:val="single" w:color="FF0000" w:sz="36" w:space="0"/>
          <w:right w:val="none" w:color="auto" w:sz="0" w:space="0"/>
          <w:insideH w:val="none" w:color="auto" w:sz="0" w:space="0"/>
          <w:insideV w:val="single" w:color="FF0000" w:sz="36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91" w:hRule="exact"/>
        <w:jc w:val="center"/>
      </w:trPr>
      <w:tc>
        <w:tcPr>
          <w:tcW w:w="8840" w:type="dxa"/>
          <w:tcBorders>
            <w:top w:val="single" w:color="FF0000" w:sz="12" w:space="0"/>
            <w:tl2br w:val="nil"/>
            <w:tr2bl w:val="nil"/>
          </w:tcBorders>
          <w:noWrap w:val="0"/>
          <w:vAlign w:val="center"/>
        </w:tcPr>
        <w:p w14:paraId="360BD8E7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line="480" w:lineRule="auto"/>
            <w:jc w:val="both"/>
            <w:textAlignment w:val="auto"/>
            <w:rPr>
              <w:rFonts w:hint="default" w:ascii="仿宋" w:hAnsi="仿宋" w:eastAsia="宋体" w:cs="仿宋"/>
              <w:b w:val="0"/>
              <w:bCs w:val="0"/>
              <w:color w:val="FFFFFF"/>
              <w:sz w:val="32"/>
              <w:szCs w:val="32"/>
              <w:lang w:val="en-US" w:eastAsia="zh-CN"/>
            </w:rPr>
          </w:pPr>
          <w:r>
            <w:rPr>
              <w:rFonts w:hint="default"/>
              <w:color w:val="FFFFFF"/>
              <w:sz w:val="2"/>
              <w:szCs w:val="2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posOffset>4749165</wp:posOffset>
                    </wp:positionH>
                    <wp:positionV relativeFrom="page">
                      <wp:posOffset>157480</wp:posOffset>
                    </wp:positionV>
                    <wp:extent cx="635" cy="635"/>
                    <wp:effectExtent l="0" t="0" r="0" b="0"/>
                    <wp:wrapNone/>
                    <wp:docPr id="2" name="文本框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5" cy="6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00ECCE">
                                <w:pPr>
                                  <w:pStyle w:val="6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— </w:t>
                                </w:r>
                                <w:r>
                                  <w:rPr>
                                    <w:color w:val="000000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000000"/>
                                  </w:rPr>
                                  <w:instrText xml:space="preserve"> PAGE  \* MERGEFORMAT </w:instrText>
                                </w:r>
                                <w:r>
                                  <w:rPr>
                                    <w:color w:val="000000"/>
                                  </w:rPr>
                                  <w:fldChar w:fldCharType="separate"/>
                                </w:r>
                                <w:r>
                                  <w:rPr>
                                    <w:color w:val="000000"/>
                                  </w:rPr>
                                  <w:t>- 0 -</w:t>
                                </w:r>
                                <w:r>
                                  <w:rPr>
                                    <w:color w:val="000000"/>
                                  </w:rPr>
                                  <w:fldChar w:fldCharType="end"/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—</w:t>
                                </w:r>
                              </w:p>
                            </w:txbxContent>
                          </wps:txbx>
                          <wps:bodyPr wrap="none" lIns="0" tIns="0" rIns="0" bIns="0" upright="1"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34" o:spid="_x0000_s1026" o:spt="202" type="#_x0000_t202" style="position:absolute;left:0pt;margin-left:373.95pt;margin-top:12.4pt;height:0.05pt;width:0.05pt;mso-position-horizontal-relative:margin;mso-position-vertical-relative:page;mso-wrap-style:none;z-index:-251657216;mso-width-relative:page;mso-height-relative:page;" fillcolor="#FFFFFF" filled="t" stroked="f" coordsize="21600,21600" o:gfxdata="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5c9MNkAAAAJAQAADwAA&#10;AAAAAAABACAAAAAiAAAAZHJzL2Rvd25yZXYueG1sUEsBAhQAFAAAAAgAh07iQPMaz0jcAQAAvgMA&#10;AA4AAAAAAAAAAQAgAAAAKAEAAGRycy9lMm9Eb2MueG1sUEsFBgAAAAAGAAYAWQEAAHYFAAAAAA==&#10;">
                    <v:fill on="t" opacity="0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5700ECCE">
                          <w:pPr>
                            <w:pStyle w:val="6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 xml:space="preserve">— </w:t>
                          </w: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- 0 -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</w:rPr>
                            <w:t xml:space="preserve"> —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46320768">
    <w:pPr>
      <w:pStyle w:val="6"/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35" cy="635"/>
              <wp:effectExtent l="0" t="0" r="0" b="0"/>
              <wp:wrapNone/>
              <wp:docPr id="5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885C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/>
                  </wps:wsp>
                </a:graphicData>
              </a:graphic>
            </wp:anchor>
          </w:drawing>
        </mc:Choice>
        <mc:Fallback>
          <w:pict>
            <v:shape id="文本框 33" o:spid="_x0000_s1026" o:spt="202" type="#_x0000_t202" style="position:absolute;left:0pt;margin-top:0pt;height:0.05pt;width:0.05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lOJZcwAAAD/AAAADwAAAAAAAAABACAAAAAiAAAAZHJzL2Rvd25y&#10;ZXYueG1sUEsBAhQAFAAAAAgAh07iQDDqaCzRAQAAnQMAAA4AAAAAAAAAAQAgAAAAG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3885C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19"/>
  <w:hyphenationZone w:val="360"/>
  <w:evenAndOddHeaders w:val="1"/>
  <w:drawingGridHorizontalSpacing w:val="148"/>
  <w:drawingGridVerticalSpacing w:val="317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JhMDFkYWVhNTQ4MTQ2NTA2NWE5MzJiNzQ0OGEyMDAifQ=="/>
  </w:docVars>
  <w:rsids>
    <w:rsidRoot w:val="00000000"/>
    <w:rsid w:val="010073E9"/>
    <w:rsid w:val="036A78A5"/>
    <w:rsid w:val="03F070F9"/>
    <w:rsid w:val="041F2D64"/>
    <w:rsid w:val="086B6B84"/>
    <w:rsid w:val="093B4988"/>
    <w:rsid w:val="0B284F1A"/>
    <w:rsid w:val="0BA21048"/>
    <w:rsid w:val="0BA93502"/>
    <w:rsid w:val="0D3F0580"/>
    <w:rsid w:val="0DFD48E2"/>
    <w:rsid w:val="0F5E063C"/>
    <w:rsid w:val="10163C52"/>
    <w:rsid w:val="14BE6568"/>
    <w:rsid w:val="14F01574"/>
    <w:rsid w:val="16606956"/>
    <w:rsid w:val="1668710C"/>
    <w:rsid w:val="17974DC4"/>
    <w:rsid w:val="19A7659B"/>
    <w:rsid w:val="1A3C3933"/>
    <w:rsid w:val="1AF211D2"/>
    <w:rsid w:val="1C7A08B3"/>
    <w:rsid w:val="1E7F74DE"/>
    <w:rsid w:val="1F516B5B"/>
    <w:rsid w:val="200941DE"/>
    <w:rsid w:val="22843ED3"/>
    <w:rsid w:val="23240CDA"/>
    <w:rsid w:val="23E07262"/>
    <w:rsid w:val="24013925"/>
    <w:rsid w:val="248B798D"/>
    <w:rsid w:val="250A14D1"/>
    <w:rsid w:val="27AC7A16"/>
    <w:rsid w:val="2B687239"/>
    <w:rsid w:val="2C216ECA"/>
    <w:rsid w:val="2CE12677"/>
    <w:rsid w:val="2FA8676C"/>
    <w:rsid w:val="30D05200"/>
    <w:rsid w:val="31DC69F2"/>
    <w:rsid w:val="32542002"/>
    <w:rsid w:val="33306488"/>
    <w:rsid w:val="359C1E05"/>
    <w:rsid w:val="359E2391"/>
    <w:rsid w:val="38887DD7"/>
    <w:rsid w:val="3A9B552C"/>
    <w:rsid w:val="3B5937C8"/>
    <w:rsid w:val="3BB73BBF"/>
    <w:rsid w:val="3D80091D"/>
    <w:rsid w:val="3F421C51"/>
    <w:rsid w:val="3FBE6208"/>
    <w:rsid w:val="3FCE0B50"/>
    <w:rsid w:val="40095F44"/>
    <w:rsid w:val="41356125"/>
    <w:rsid w:val="418657CB"/>
    <w:rsid w:val="42022E95"/>
    <w:rsid w:val="42A16911"/>
    <w:rsid w:val="43AC0516"/>
    <w:rsid w:val="44204A82"/>
    <w:rsid w:val="447B5F78"/>
    <w:rsid w:val="4506027C"/>
    <w:rsid w:val="451B673D"/>
    <w:rsid w:val="454C20ED"/>
    <w:rsid w:val="45B65CB5"/>
    <w:rsid w:val="46245D86"/>
    <w:rsid w:val="46B13012"/>
    <w:rsid w:val="47683C60"/>
    <w:rsid w:val="492A41A0"/>
    <w:rsid w:val="4B3115EC"/>
    <w:rsid w:val="4E5E04A0"/>
    <w:rsid w:val="4FE01EB7"/>
    <w:rsid w:val="53C16185"/>
    <w:rsid w:val="5571146A"/>
    <w:rsid w:val="56EF622F"/>
    <w:rsid w:val="5AD4020C"/>
    <w:rsid w:val="5C2C7B3B"/>
    <w:rsid w:val="5C6313A8"/>
    <w:rsid w:val="5EA547D2"/>
    <w:rsid w:val="5F532672"/>
    <w:rsid w:val="60DF28B7"/>
    <w:rsid w:val="6106379C"/>
    <w:rsid w:val="61250B85"/>
    <w:rsid w:val="64F330D2"/>
    <w:rsid w:val="66131848"/>
    <w:rsid w:val="66791A03"/>
    <w:rsid w:val="66D03393"/>
    <w:rsid w:val="69F95CD5"/>
    <w:rsid w:val="6A3B4FCC"/>
    <w:rsid w:val="6B6B0BB8"/>
    <w:rsid w:val="6BF75D8F"/>
    <w:rsid w:val="6C325DE4"/>
    <w:rsid w:val="705866D1"/>
    <w:rsid w:val="70D72B00"/>
    <w:rsid w:val="7306064B"/>
    <w:rsid w:val="73CB63C9"/>
    <w:rsid w:val="74813FCA"/>
    <w:rsid w:val="780F5C58"/>
    <w:rsid w:val="7A5D6D55"/>
    <w:rsid w:val="7A63258C"/>
    <w:rsid w:val="7B9E1869"/>
    <w:rsid w:val="7CEE5FD5"/>
    <w:rsid w:val="7D637B7D"/>
    <w:rsid w:val="7EB55052"/>
    <w:rsid w:val="7ECF636A"/>
    <w:rsid w:val="7F397C09"/>
    <w:rsid w:val="7FE7118F"/>
    <w:rsid w:val="7FFFE6A3"/>
    <w:rsid w:val="EF7646E9"/>
    <w:rsid w:val="F70FDDA3"/>
    <w:rsid w:val="F7D9C7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nhideWhenUsed="0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djustRightInd w:val="0"/>
      <w:snapToGrid w:val="0"/>
      <w:spacing w:line="360" w:lineRule="auto"/>
      <w:ind w:left="0" w:right="0" w:firstLine="0"/>
      <w:outlineLvl w:val="0"/>
    </w:pPr>
    <w:rPr>
      <w:rFonts w:ascii="宋体" w:hAnsi="宋体" w:eastAsia="黑体" w:cs="宋体"/>
      <w:b/>
      <w:bCs/>
      <w:sz w:val="30"/>
      <w:szCs w:val="66"/>
      <w:lang w:eastAsia="en-US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adjustRightInd w:val="0"/>
      <w:snapToGrid w:val="0"/>
      <w:spacing w:line="360" w:lineRule="auto"/>
      <w:ind w:left="0" w:firstLine="0"/>
      <w:outlineLvl w:val="1"/>
    </w:pPr>
    <w:rPr>
      <w:rFonts w:ascii="宋体" w:hAnsi="宋体" w:eastAsia="黑体" w:cs="宋体"/>
      <w:b/>
      <w:bCs/>
      <w:sz w:val="28"/>
      <w:szCs w:val="45"/>
      <w:lang w:eastAsia="en-US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360" w:lineRule="auto"/>
      <w:outlineLvl w:val="2"/>
    </w:pPr>
    <w:rPr>
      <w:rFonts w:ascii="Calibri" w:hAnsi="Calibri" w:eastAsia="仿宋"/>
      <w:b/>
      <w:bCs/>
      <w:color w:val="auto"/>
      <w:sz w:val="28"/>
      <w:szCs w:val="32"/>
      <w:u w:val="none" w:color="auto"/>
    </w:rPr>
  </w:style>
  <w:style w:type="paragraph" w:styleId="5">
    <w:name w:val="heading 7"/>
    <w:basedOn w:val="1"/>
    <w:next w:val="1"/>
    <w:qFormat/>
    <w:uiPriority w:val="0"/>
    <w:pPr>
      <w:keepNext/>
      <w:keepLines/>
      <w:spacing w:line="360" w:lineRule="auto"/>
      <w:ind w:firstLine="0" w:firstLineChars="0"/>
      <w:jc w:val="center"/>
      <w:outlineLvl w:val="6"/>
    </w:pPr>
    <w:rPr>
      <w:rFonts w:ascii="Times New Roman" w:hAnsi="Times New Roman"/>
      <w:b/>
      <w:spacing w:val="0"/>
      <w:sz w:val="24"/>
      <w:szCs w:val="20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仿宋_GB2312"/>
      <w:sz w:val="2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Calibri" w:hAnsi="Calibri"/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3">
    <w:name w:val="标题 2 Char"/>
    <w:link w:val="3"/>
    <w:qFormat/>
    <w:uiPriority w:val="1"/>
    <w:rPr>
      <w:rFonts w:ascii="宋体" w:hAnsi="宋体" w:eastAsia="黑体" w:cs="宋体"/>
      <w:b/>
      <w:bCs/>
      <w:sz w:val="28"/>
      <w:szCs w:val="45"/>
      <w:lang w:eastAsia="en-US"/>
    </w:rPr>
  </w:style>
  <w:style w:type="paragraph" w:customStyle="1" w:styleId="14">
    <w:name w:val="表格"/>
    <w:basedOn w:val="1"/>
    <w:qFormat/>
    <w:uiPriority w:val="0"/>
    <w:pPr>
      <w:widowControl/>
      <w:spacing w:line="240" w:lineRule="auto"/>
      <w:ind w:firstLine="0" w:firstLineChars="0"/>
      <w:jc w:val="center"/>
    </w:pPr>
    <w:rPr>
      <w:rFonts w:ascii="Times New Roman" w:hAnsi="Times New Roman"/>
      <w:color w:val="000000"/>
      <w:spacing w:val="0"/>
      <w:kern w:val="28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783</Words>
  <Characters>1055</Characters>
  <Lines>0</Lines>
  <Paragraphs>0</Paragraphs>
  <TotalTime>11</TotalTime>
  <ScaleCrop>false</ScaleCrop>
  <LinksUpToDate>false</LinksUpToDate>
  <CharactersWithSpaces>1154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2022-12-03T00:47:00Z</dcterms:created>
  <dc:creator>80534</dc:creator>
  <cp:lastModifiedBy>演示人</cp:lastModifiedBy>
  <cp:lastPrinted>2023-06-22T00:51:00Z</cp:lastPrinted>
  <dcterms:modified xsi:type="dcterms:W3CDTF">2024-12-19T02:39:05Z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DC234694A92E4E9486BD8E3938666123</vt:lpwstr>
  </property>
</Properties>
</file>