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1184910</wp:posOffset>
            </wp:positionH>
            <wp:positionV relativeFrom="page">
              <wp:posOffset>2809240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9"/>
        <w:tblpPr w:leftFromText="180" w:rightFromText="180" w:vertAnchor="text" w:horzAnchor="page" w:tblpX="1709" w:tblpY="317"/>
        <w:tblOverlap w:val="never"/>
        <w:tblW w:w="8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赤政发〔2025〕1号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pStyle w:val="2"/>
        <w:numPr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赤峰市人民政府关于印发《赤峰市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鼓励使用全生物降解地膜工作方案》的通知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各旗县区人民政府，市直有关部门：</w:t>
      </w:r>
    </w:p>
    <w:p>
      <w:pPr>
        <w:pStyle w:val="2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现将《赤峰市鼓励使用全生物降解地膜工作方案》印发给你们，请结合实际，认真组织实施。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2025年1月1日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赤峰市鼓励使用全生物降解地膜工作方案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为减少农业面源污染，提升耕地质量，稳定粮食生产，促进赤峰市农牧业绿色高质量发展，推动落实国家重要农畜产品生产基地建设，筑牢北方重要生态安全屏障，结合我市实际，制定本方案。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一、任务目标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/>
          <w:bCs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选择适宜区域，针对适宜作物和栽培模式，按照适度集中原则有序推广符合GB</w:t>
      </w:r>
      <w:r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T35795—2017国家标准的全生物降解地膜（具体指标见附件1），确保产品与区域气候资源条件相适应，与作物生长功能需求相匹配。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2025年在全市范围内推广15万亩全生物降解地膜。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二、补贴标准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对使用全生物降解地膜的农户、种植大户、农民合作社等实施主体进行补助，资金来源为中央财政资金，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具体标准为：采取全膜覆盖模式的补贴100元/亩，半膜覆盖模式的补贴90元/亩。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楷体_GB2312" w:hAnsi="黑体" w:eastAsia="楷体_GB2312"/>
          <w:b w:val="0"/>
          <w:bCs w:val="0"/>
          <w:sz w:val="32"/>
          <w:szCs w:val="32"/>
        </w:rPr>
      </w:pPr>
      <w:r>
        <w:rPr>
          <w:rFonts w:hint="eastAsia" w:ascii="楷体_GB2312" w:hAnsi="黑体" w:eastAsia="楷体_GB2312"/>
          <w:b w:val="0"/>
          <w:bCs w:val="0"/>
          <w:sz w:val="32"/>
          <w:szCs w:val="32"/>
          <w:lang w:val="en-US" w:eastAsia="zh-CN"/>
        </w:rPr>
        <w:t>（一）按需分解任务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按照覆膜面积和旗县区需求情况，将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15万亩任务分解至有关旗县区（具体任务见附件2）。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黑体" w:eastAsia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 w:val="0"/>
          <w:bCs w:val="0"/>
          <w:sz w:val="32"/>
          <w:szCs w:val="32"/>
          <w:lang w:val="en-US" w:eastAsia="zh-CN"/>
        </w:rPr>
        <w:t xml:space="preserve">    （二）优化补贴</w:t>
      </w:r>
      <w:r>
        <w:rPr>
          <w:rFonts w:hint="eastAsia" w:ascii="楷体_GB2312" w:hAnsi="黑体" w:eastAsia="楷体_GB2312"/>
          <w:b w:val="0"/>
          <w:bCs w:val="0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楷体_GB2312" w:hAnsi="黑体" w:eastAsia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采取直接补贴或者间接补贴，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按照全膜覆盖不低于</w:t>
      </w:r>
      <w:r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  <w:t>9公斤/亩，半膜覆盖不低于6公斤/亩核算，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以量折亩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优化补贴方式，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降低农民使用成本，提高农民应用全生物降解地膜的积极性。采取直接补贴方式的，要建立全生物降解地膜购销和使用台账，</w:t>
      </w:r>
      <w:r>
        <w:rPr>
          <w:rFonts w:hint="eastAsia" w:ascii="仿宋_GB2312" w:hAnsi="黑体" w:eastAsia="仿宋_GB2312"/>
          <w:sz w:val="32"/>
          <w:szCs w:val="32"/>
        </w:rPr>
        <w:t>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农户、种植大户、农民合作社等实施主体</w:t>
      </w:r>
      <w:r>
        <w:rPr>
          <w:rFonts w:hint="eastAsia" w:ascii="仿宋_GB2312" w:hAnsi="黑体" w:eastAsia="仿宋_GB2312"/>
          <w:sz w:val="32"/>
          <w:szCs w:val="32"/>
        </w:rPr>
        <w:t>和统计人员共同签字确认，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对拟补贴主体使用全生物降解地膜情况进行核实，</w:t>
      </w:r>
      <w:r>
        <w:rPr>
          <w:rFonts w:hint="eastAsia" w:ascii="仿宋_GB2312" w:hAnsi="黑体" w:eastAsia="仿宋_GB2312"/>
          <w:sz w:val="32"/>
          <w:szCs w:val="32"/>
        </w:rPr>
        <w:t>连同现场核查照片或视频一并留存档案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。采取间接补贴方式的，可采用带量集中采购方式，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鼓励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“三位一体”综合合作组织等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采取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整合需求、形成订单、带量集采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等方式，保障地膜质量，降低综合使用成本。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楷体_GB2312" w:hAnsi="黑体" w:eastAsia="楷体_GB2312"/>
          <w:b w:val="0"/>
          <w:bCs w:val="0"/>
          <w:sz w:val="32"/>
          <w:szCs w:val="32"/>
        </w:rPr>
      </w:pPr>
      <w:r>
        <w:rPr>
          <w:rFonts w:hint="eastAsia" w:ascii="楷体_GB2312" w:hAnsi="黑体" w:eastAsia="楷体_GB2312"/>
          <w:b w:val="0"/>
          <w:bCs w:val="0"/>
          <w:sz w:val="32"/>
          <w:szCs w:val="32"/>
          <w:lang w:val="en-US" w:eastAsia="zh-CN"/>
        </w:rPr>
        <w:t>（三）做好公开</w:t>
      </w:r>
      <w:r>
        <w:rPr>
          <w:rFonts w:hint="eastAsia" w:ascii="楷体_GB2312" w:hAnsi="黑体" w:eastAsia="楷体_GB2312"/>
          <w:b w:val="0"/>
          <w:bCs w:val="0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旗县农牧部门按照公开、公平、透明的原则，组织苏木乡镇在项目实施嘎查村所在地对享受补贴的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农户、种植大户、农民合作社等实施主体</w:t>
      </w:r>
      <w:r>
        <w:rPr>
          <w:rFonts w:hint="eastAsia" w:ascii="仿宋_GB2312" w:hAnsi="黑体" w:eastAsia="仿宋_GB2312"/>
          <w:sz w:val="32"/>
          <w:szCs w:val="32"/>
        </w:rPr>
        <w:t>进行公示，接受社会监督。公示内容包括受益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实施主体</w:t>
      </w:r>
      <w:r>
        <w:rPr>
          <w:rFonts w:hint="eastAsia" w:ascii="仿宋_GB2312" w:hAnsi="黑体" w:eastAsia="仿宋_GB2312"/>
          <w:sz w:val="32"/>
          <w:szCs w:val="32"/>
        </w:rPr>
        <w:t>、享受补贴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亩数</w:t>
      </w:r>
      <w:r>
        <w:rPr>
          <w:rFonts w:hint="eastAsia" w:ascii="仿宋_GB2312" w:hAnsi="黑体" w:eastAsia="仿宋_GB2312"/>
          <w:sz w:val="32"/>
          <w:szCs w:val="32"/>
        </w:rPr>
        <w:t>、补贴标准及金额等，公示期不少于7天。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楷体_GB2312" w:hAnsi="黑体" w:eastAsia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 w:val="0"/>
          <w:bCs w:val="0"/>
          <w:sz w:val="32"/>
          <w:szCs w:val="32"/>
          <w:lang w:val="en-US" w:eastAsia="zh-CN"/>
        </w:rPr>
        <w:t>（四）及时</w:t>
      </w:r>
      <w:r>
        <w:rPr>
          <w:rFonts w:hint="eastAsia" w:ascii="楷体_GB2312" w:hAnsi="黑体" w:eastAsia="楷体_GB2312"/>
          <w:b w:val="0"/>
          <w:bCs w:val="0"/>
          <w:sz w:val="32"/>
          <w:szCs w:val="32"/>
          <w:lang w:eastAsia="zh-CN"/>
        </w:rPr>
        <w:t>发放资金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旗县区农牧局提交资金拨付申请</w:t>
      </w:r>
      <w:r>
        <w:rPr>
          <w:rFonts w:hint="eastAsia" w:ascii="仿宋_GB2312" w:hAnsi="黑体" w:eastAsia="仿宋_GB2312"/>
          <w:sz w:val="32"/>
          <w:szCs w:val="32"/>
        </w:rPr>
        <w:t>后，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旗县区财政局尽快完成资金支付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若完成任务面积后资金有剩余，要继续用于补贴推广全生物降解地膜，推广全生物降解地膜面积可以大于任务面积。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smallCap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mallCaps w:val="0"/>
          <w:kern w:val="2"/>
          <w:sz w:val="32"/>
          <w:szCs w:val="32"/>
          <w:lang w:val="en-US" w:eastAsia="zh-CN" w:bidi="ar-SA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  <w:t>（一）压实主体责任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</w:pPr>
      <w:r>
        <w:rPr>
          <w:rFonts w:hint="eastAsia" w:ascii="仿宋_GB2312" w:hAnsi="Times New Roman" w:eastAsia="仿宋_GB2312" w:cs="Arial"/>
          <w:color w:val="000000"/>
          <w:kern w:val="2"/>
          <w:sz w:val="32"/>
          <w:szCs w:val="32"/>
          <w:lang w:val="en-US" w:eastAsia="zh-CN" w:bidi="ar-SA"/>
        </w:rPr>
        <w:t>各旗县区要结合当地生产实际，按照适度集中原则有序推广应用全生物降解地膜，选用质量合格、诱导期适宜、当年生产的全生物降解地膜。要不断优化集成农艺措施和技术模式，避免过早降解。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  <w:t xml:space="preserve">    （二）</w:t>
      </w:r>
      <w:r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  <w:t>强化资金管理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Calibri" w:hAnsi="Calibri" w:eastAsia="仿宋_GB2312" w:cs="Times New Roman"/>
          <w:b/>
          <w:bCs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旗县区财政局要及时做好</w:t>
      </w:r>
      <w:r>
        <w:rPr>
          <w:rFonts w:hint="eastAsia" w:ascii="仿宋_GB2312" w:hAnsi="黑体" w:eastAsia="仿宋_GB2312"/>
          <w:sz w:val="32"/>
          <w:szCs w:val="32"/>
        </w:rPr>
        <w:t>资金结算工作，落实好补贴政策。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各旗县区要</w:t>
      </w:r>
      <w:r>
        <w:rPr>
          <w:rFonts w:hint="eastAsia" w:ascii="仿宋_GB2312" w:hAnsi="黑体" w:eastAsia="仿宋_GB2312"/>
          <w:sz w:val="32"/>
          <w:szCs w:val="32"/>
        </w:rPr>
        <w:t>加强资金监管，严格专款专用，及时足额拨付资金，严禁挤占、截留、挪用补贴资金。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  <w:t xml:space="preserve">    （三）</w:t>
      </w:r>
      <w:r>
        <w:rPr>
          <w:rFonts w:hint="eastAsia" w:ascii="Calibri" w:hAnsi="Calibri" w:eastAsia="楷体_GB2312" w:cs="Times New Roman"/>
          <w:b w:val="0"/>
          <w:bCs w:val="0"/>
          <w:smallCaps w:val="0"/>
          <w:color w:val="000000"/>
          <w:kern w:val="2"/>
          <w:sz w:val="32"/>
          <w:szCs w:val="32"/>
          <w:lang w:val="en-US" w:eastAsia="zh-CN" w:bidi="ar-SA"/>
        </w:rPr>
        <w:t>加大宣传力度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旗县区要加强《内蒙古自治区农用薄膜污染防治条例》和《赤峰市加强地膜污染防治十条措施》宣贯力度，适时选择重点区域召开全生物降解地膜技术推广现场观摩会，充分利用互联网、移动终端、广播电视等媒介，开展形式多样的宣传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让广大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准确理解政策内容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农膜污染治理工作和全生物降解地膜使用对比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情况纳入高素质农牧民培育等培训内容，提高农民科学使用全生物降解地膜的意识，营造全社会共同参与的良好氛围。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36" w:leftChars="0" w:hanging="936" w:hanging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36" w:leftChars="0" w:hanging="936" w:hanging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附件：1.赤峰市2025年推广全生物降解膜技术指标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2.各旗县区2025年落实全生物降解地膜任务情况表</w:t>
      </w:r>
    </w:p>
    <w:p>
      <w:pPr>
        <w:pStyle w:val="5"/>
        <w:spacing w:line="620" w:lineRule="exact"/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pStyle w:val="5"/>
        <w:spacing w:line="620" w:lineRule="exact"/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pStyle w:val="5"/>
        <w:spacing w:line="62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5"/>
        <w:spacing w:line="62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全生物降解膜技术指标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成分为具有完全降解特性的脂肪族聚酯、脂肪族—芳香族共聚酯等生物质材料，不得含有聚乙烯、聚丙烯等烯烃类原料，可适当加入无环境危害的填充物、功能性助剂。产品厚度、力学性能等指标应符合《全生物降解农用地面覆盖薄膜》（GB/T35795—2017）要求，有效使用时间应≥90天，水蒸气透过量应＜400g/（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·24h），有机成分≥51%，相对生物分解率≥90%，拉伸负荷（纵、横向）≥1.5N，断裂标称应变（纵向）≥150%，断裂标称应变（横向）≥250%，直角撕裂负荷（纵、横向）≥0.8N。在高温高湿、土壤微生物活性较高等环境下，需经过试验验证，并配套农艺措施。</w:t>
      </w:r>
    </w:p>
    <w:p>
      <w:pPr>
        <w:pStyle w:val="2"/>
        <w:numPr>
          <w:ilvl w:val="0"/>
          <w:numId w:val="0"/>
        </w:numPr>
        <w:ind w:left="400"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left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/>
        <w:jc w:val="left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各旗县区2025年落实全生物降解地膜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任务情况表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8"/>
        <w:tblW w:w="87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4725"/>
        <w:gridCol w:w="1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旗县区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推广全生物降解地膜面积（万亩）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此面积为国家下达我市任务面积。在实施中，按下发资金数折算，实际完成面积要高于此面积。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巴林右旗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注：表中15万亩任务包含《赤峰市2024—2025年地膜科学使用回收工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作实施方案》中5万亩全生物降解膜任务，补贴标准按照此方案执行。</w:t>
      </w:r>
    </w:p>
    <w:tbl>
      <w:tblPr>
        <w:tblStyle w:val="8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2025年1月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57300D"/>
    <w:multiLevelType w:val="multilevel"/>
    <w:tmpl w:val="E757300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77F61CC"/>
    <w:rsid w:val="58B647E8"/>
    <w:rsid w:val="5C6313A8"/>
    <w:rsid w:val="5E4B7276"/>
    <w:rsid w:val="5FBD3DDE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D9848F3"/>
    <w:rsid w:val="7FE7118F"/>
    <w:rsid w:val="B5EF9790"/>
    <w:rsid w:val="DDDEA861"/>
    <w:rsid w:val="DFFC9E61"/>
    <w:rsid w:val="DFFF1E5D"/>
    <w:rsid w:val="EE4B34C7"/>
    <w:rsid w:val="F3CF51ED"/>
    <w:rsid w:val="FBFA5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firstLine="400"/>
      <w:outlineLvl w:val="2"/>
    </w:pPr>
    <w:rPr>
      <w:rFonts w:ascii="Times New Roman" w:hAnsi="Times New Roman" w:eastAsia="仿宋_GB2312" w:cs="Times New Roman"/>
      <w:szCs w:val="2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4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1667</Characters>
  <Lines>0</Lines>
  <Paragraphs>0</Paragraphs>
  <TotalTime>1</TotalTime>
  <ScaleCrop>false</ScaleCrop>
  <LinksUpToDate>false</LinksUpToDate>
  <CharactersWithSpaces>1676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2022-12-02T08:47:00Z</dcterms:created>
  <dc:creator>80534</dc:creator>
  <cp:lastModifiedBy>朱双峰</cp:lastModifiedBy>
  <cp:lastPrinted>2022-12-07T15:21:00Z</cp:lastPrinted>
  <dcterms:modified xsi:type="dcterms:W3CDTF">2025-01-02T15:13:10Z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F6CDC93585684E89863C76676539BEAF</vt:lpwstr>
  </property>
</Properties>
</file>