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1184910</wp:posOffset>
            </wp:positionH>
            <wp:positionV relativeFrom="page">
              <wp:posOffset>2874010</wp:posOffset>
            </wp:positionV>
            <wp:extent cx="5205730" cy="1419225"/>
            <wp:effectExtent l="0" t="0" r="6350" b="13335"/>
            <wp:wrapNone/>
            <wp:docPr id="1" name="图片 2" descr="C:\Users\86130\Desktop\市政府\zjk图片\zjk图片\秘书二科\发文\赤政发.png赤政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发.png赤政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tbl>
      <w:tblPr>
        <w:tblStyle w:val="9"/>
        <w:tblpPr w:leftFromText="180" w:rightFromText="180" w:vertAnchor="text" w:horzAnchor="page" w:tblpX="1704" w:tblpY="393"/>
        <w:tblOverlap w:val="never"/>
        <w:tblW w:w="88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4" w:hRule="exact"/>
        </w:trPr>
        <w:tc>
          <w:tcPr>
            <w:tcW w:w="8832" w:type="dxa"/>
            <w:tcBorders>
              <w:top w:val="nil"/>
              <w:left w:val="nil"/>
              <w:bottom w:val="single" w:color="FF0000" w:sz="2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赤政发〔2025〕11号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ascii="方正小标宋简体" w:eastAsia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spacing w:val="0"/>
          <w:sz w:val="44"/>
          <w:szCs w:val="44"/>
          <w:highlight w:val="none"/>
        </w:rPr>
        <w:t>赤峰市人民政府关于印发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ascii="方正小标宋简体" w:eastAsia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赤峰市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  <w:t>节水行动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实施方案</w:t>
      </w:r>
      <w:r>
        <w:rPr>
          <w:rFonts w:hint="eastAsia" w:ascii="方正小标宋简体" w:eastAsia="方正小标宋简体"/>
          <w:b w:val="0"/>
          <w:bCs w:val="0"/>
          <w:color w:val="auto"/>
          <w:spacing w:val="0"/>
          <w:sz w:val="44"/>
          <w:szCs w:val="44"/>
          <w:highlight w:val="none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各旗县区人民政府，市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直各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委办局，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各企事业单位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现将《赤峰市节水行动实施方案》印发给你们，请结合实际认真贯彻落实。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br w:type="page"/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赤峰市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节水行动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深入贯彻落实习近平总书记关于节水工作的重要指示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二十大和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二十届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三中全会精神，按照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党委十一届九次全会暨全区经济工作会议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和市委八届八次全会暨全市经济会议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部署要求，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紧紧围绕铸牢中华民族共同体意识工作主线，大力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实施节水行动，制定本方案。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一、工作目标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2025年，全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用水总量控制在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20.23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亿立方米以内，万元国内生产总值用水量较2020年下降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%以上。农业新增节水能力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4215万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立方米以上，农田灌溉水有效利用系数达到0.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以上；工业万元增加值用水量较2020年下降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13.5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%以上；城市公共供水管网漏损率力争控制在9%以内，再生水利用率达到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%以上；非常规水源利用量达到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0.58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亿立方米以上。全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水资源节约利用取得明显成效，水资源利用效率和效益显著提升，全社会节水意识进一步增强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强化水资源刚性约束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强化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节水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约束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性指标管理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严格实行区域流域用水总量和强度控制，各旗县区应严格执行“一旗县一策”指标体系。分行业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旗县区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确定节水目标，因地制宜实施差别化管控措施，落实到具体行业和用水单元，加强监测监管，确保目标实现。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市水利局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、工业和信息化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、住房城乡建设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、农牧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、能源局等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有关部门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，各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旗县区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人民政府；以下各项工作均需各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旗县区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人民政府落实，不再列出）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完善用水计量体系。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根据《节约用水条例》，水资源严重短缺地区、地下水超采地区应当限期建设农业灌溉用水计量设施。按照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“应装尽装、应测尽测”的要求，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新实施的高标准农田项目要全部安装在线计量设施，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地表水灌区1万亩以上的渠首取水计量实现全覆盖，5万亩以上的渠首取水实现在线计量，井灌区全面实行“以电折水”计量；非农用户年许可水量50万立方米以上的地表取水、5万立方米以上的地下取水全部实现在线计量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2025年，全市各行业取用水实现有效计量监控。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市水利局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、工业和信息化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、住房城乡建设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、农牧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、能源局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，国网赤峰供电公司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严格落实限审限批。对于取用水总量已经达到或者超过用水总量管控指标、地下水管理单元指标不合格的地区，除城乡居民生活用水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或者供热管网补水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等特殊情形外，暂停审批该地区新增取用水。各地区应积极采取节水控水、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实施引调水工程、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水源置换等措施将用水量压减到管控指标范围内。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市水利局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4.推进水电联管工作。严格执行《赤峰市地下水保护条例》，各地在“以电折水”的基础上，探索开展水电联管工作，任何单位和个人直接取用地下水的，无取水许可文件，电力部门不能进行供电。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国网赤峰供电公司，市水利局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突出抓好农业节水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.加强农业节水增效。全面落实工程、农艺、品种、结构、机制“五节”措施，大力推广滴灌，微灌等方式，锁定耕地开发边界，逐步调整国土三调新增耕地中耗水较大的地块。实施150万亩以上高标准农田建设。统筹推进农艺节水技术，计划稳定杂粮大豆种植面积500万亩以上，压减高耗水作物5万亩，推广抗旱品种、覆盖保墒、抗旱保水新材料等配套抗旱技术。新增农业节水能力4215万立方米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（责任部门：市农牧局、自然资源局、水利局）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深化农业水价综合改革。对已完成农业水价综合改革任务的788.23万亩开展“回头看”，再新增农业水价综合改革面积382万亩，全面实行按方收费、超用加价。加价收取的费用主要用于农业节水工程改造和节水奖补。逐步建立灌区内农户间水权交易机制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（责任部门：市水利局、发展改革委、财政局、农牧局）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做好设施农业节水工作。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结合赤峰市设施农业现代化提升行动，严格实行新建设施农业规划水资源论证工作，引导设施农业生产经营主体积极发展节水型设施农业，大力推进设施农业节水工程改造，加强设施农业项目水资源论证工作，对设施农业用水户实现“一户一表”精准计量。对于水资源匮乏的丘陵地区，应控制设施农业发展规模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（责任部门：市农牧局、水利局）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4.大力推进牧草产业节水。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限制超规模发展高耗水的牧草产业。现有成规模的牧草产业需大力推进节水设施建设改造，坚持以水定地，量水而行，需按照水资源承载能力，压减种植面积。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（责任部门：市农牧局、发展改革委、财政局、水利局）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加快推进工业节水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推进能源领域节水改造。加强火电机组源头管理，强化新建煤电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项目节水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规划约束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推动既有火电企业节水改造升级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重点在现役火电机组装机规模较大、老旧机组较多的区域实施节水改造项目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推动煤制油气、石油开采和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炼制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行业实施再生水置换和废水循环利用改造工作，进一步提升行业节水减排能力。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（责任部门：市能源局）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推动其他重点行业节水技术改造。征集推广先进成熟适用的节水技术、装备和产品，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引导工业企业积极选用《工业领域绿色低碳先进技术推广目录》中的先进绿色技术，助力企业节水降本提质增效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在钢铁、有色、化工等领域，推动节水技术改造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加强工业废水循环利用，支持工业园区污水收集分流管网、污水集中处理、再生水回用等基础设施建设，规模以上工业用水重复利用率达到95%以上。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2025年，完成2个工业节水技改项目。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工业和信息化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局、能源局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大力创建节水型企业和园区。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聚焦钢铁、有色、化工、建材、食品和发酵等重点用水领域，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大力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创建节水型企业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节水标杆企业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节水型园区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，引导工业企业特别是高耗水企业采用先进节水技术，实现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工业万元增加值用水量较2020年下降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13.5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%以上。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工业和信息化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、水利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促进城乡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居民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节约用水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减少城市供水管网漏损。实施公共供水管网漏损治理工程，聚焦高漏损地区改造老旧破损供水管网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公里以上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。因地制宜更新完善供水计量设施，稳妥推进供水管网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分区计量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，建立精细化管理平台和漏损管控体系。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结合城市更新和老旧小区改造，更新庭院管道和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二次供水设施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推动赤峰市国家公共供水管网漏损治理重点城市建设。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住房城乡建设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推进节水型城市建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设。按照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《赤峰市创建节水型城市实施方案》，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落实城市节水各项措施。提高城市节水工作系统性，将节水落实到城市规划、建设、管理各环节，实现优水优用、循环循序利用。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因地制宜推进海绵城市建设，科学设置滞水渗水设施，提高雨水资源就地消纳利用水平。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住房城乡建设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局、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发展改革委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、水利局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严控高耗水服务业和特种行业用水。从严控制洗浴、洗车、人工滑雪场等行业计划用水管理，严格执行超定额（超计划）累进加价制度，加大高耗水服务业再生水利用比例。严格管控城市环卫、建筑施工等行业用水，禁止道路、建筑工地使用自来水抑尘洒水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住房城乡建设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、水利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加强农村牧区用水管控。积极推进农村牧区集中供水工程建设，自来水普及率提升至81.5%。全面推动农村牧区集中供水按方计量收费，加快计量设施安装，以“千人以上”及供水紧张的工程为重点，全面推动农村牧区集中供水按方计量收费。对农村牧区庭院浇灌和养殖用水造成农牧民饮水困难的，相关地区负责统筹协调，优先保障农牧民饮水安全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市水利局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、农牧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提高城乡供水保障能力。加强水源地保护建设，开展水量水质评估，确保水源地水量充足、水质达标。实施城乡供水设施升级改造，着力解决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bidi="ar"/>
        </w:rPr>
        <w:t>处理工艺不完善、消毒设施不健全、出厂水质不达标等问题，加强供水水质检测，减少终端用户二次净水。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住房城乡建设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、生态环境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、水利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、卫生健康委）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健全城乡用水价格机制。完善城镇居民阶梯水价制度，合理确定阶梯水量，适当加大缺水地区水价价差，定期开展居民用水阶梯价格运行情况评估并动态调整。健全城镇非居民用水超定额（超计划）累进加价制度，进一步调整水量分档、确定加价标准。农村牧区探索实行村口总量控制、按户定额管理、超额累进加价制度，引导农牧民自主节水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发展改革委、住房城乡建设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、水利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（五）积极推进生态节水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坚持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以水定绿。统筹推进水源涵养、国土绿化、防沙治沙、湿地修复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等绿化措施，宜林则林、宜草则草，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科学恢复林草植被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坚持自然恢复和人工修复相结合，以雨养、节水为导向，大力发展节水林草植被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。具备供水保障条件的地区，在开展水资源论证的前提下可适当种植以乡土树种为主的乔木。禁止成规模营造高耗水的商用速生半产林。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市林草局、农牧局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2.推进国土绿化节水。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优先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选用节水耐旱型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树种草种，合理配置林草植被类型和密度。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加强林草节水灌溉基础设施建设和节水林草科技产品的推广应用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合理利用天然降水和再生水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（责任部门：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市林草局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加强城市绿化用水管理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园林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绿化优先使用再生水，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推广高效节水灌溉方式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选用适合本地区的节水耐旱植被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，合理安排灌溉频次，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严控水面景观用水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。严禁取用地下水用于城市水景观、水上娱乐项目。中心城区再生水管网覆盖范围内，严禁各类绿化公司、单位购买使用地下水用于绿化等行为。各旗县区应依法依规处置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再生水管网覆盖范围内的绿化水源井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（责任部门：市住房城乡建设局、水利局）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（六）强化地下水超采区治理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持续做好地下水超采区巩固治理。通过实施高效节水灌溉、水源置换、种植结构调整、旱作雨养等措施，加快推动第二轮中央环境保护督察反馈的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元宝山区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超采区（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涉及元宝山区和松山区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）巩固治理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（责任部门：市水利局、住房城乡建设局、农牧局）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加快推进重点区域超载治理。扎实推进西辽河流域重点区域超载综合治理，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bidi="ar"/>
        </w:rPr>
        <w:t>严厉打击违法取水行为，对未经批准擅自取水、超量取水、无计量取水等不符合取水许可要求的行为，责令限期改正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eastAsia="zh-CN" w:bidi="ar"/>
        </w:rPr>
        <w:t>，逾期未改正的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bidi="ar"/>
        </w:rPr>
        <w:t>依法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eastAsia="zh-CN" w:bidi="ar"/>
        </w:rPr>
        <w:t>采取拆除或封闭取水设施等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bidi="ar"/>
        </w:rPr>
        <w:t>处罚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eastAsia="zh-CN" w:bidi="ar"/>
        </w:rPr>
        <w:t>措施。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（责任部门：市水利局、住房城乡建设局、农牧局）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加快推进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新一轮划定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采区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治理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eastAsia="zh-CN" w:bidi="ar"/>
        </w:rPr>
        <w:t>《水利部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eastAsia="zh-CN" w:bidi="ar"/>
        </w:rPr>
        <w:t>自然资源部关于印发全国地下水超采区划定成果的通知》（水资管〔2024〕349号）公布了新一轮超采区划定成果，我市新一轮地下水超采区面积共2837平方公里，涉及4个旗县区，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2025年，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lang w:eastAsia="zh-CN" w:bidi="ar"/>
        </w:rPr>
        <w:t>编制完成《赤峰市新一轮超采区综合治理方案》，推进节水行动方案落地见效。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（责任部门：市水利局、自然资源局、住房城乡建设局、农牧局）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（七）着力用好非常规水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进再生水综合利用。加快推进城镇和工业园区污水处理厂水质达标改造，力争满足再生水用户用水需求，对依托城镇污水处理厂处理工业废水的，积极推动建设独立工业废水处理厂或尾水深度净化工程；加大再生水配置管网建设力度，畅通再生水厂与用水户之间的输水通道；积极推进再生水就近利用，在工业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景观环境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、城市杂用、城市绿化等领域优先配置使用再生水；力争再生水利用率达到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%以上。加快再生水利用重点城市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建设，推进德润再生水到元宝山电厂供水工程建设，完成元宝山电厂水源置换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（责任部门：市住房城乡建设局、发展改革委、工业和信息化局、水利局）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提升矿井水综合利用水平。推广使用保水采煤工艺，建设煤炭和矿井水双资源型矿井；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《赤峰市矿井水保护和利用工作计划》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，加快推进矿井水配置利用工程建设；新增用水优先配置矿井水，具备条件的地区加快推进矿井水置换地表水、地下水；力争矿井水综合利用率达到60%以上。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（责任部门：市发展改革委、能源局、水利局）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激发节水市场活力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推进用水权市场化交易。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按照《内蒙古自治区水利厅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发展改革委 财政厅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关于推进内蒙古自治区用水权改革的实施意见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》（内水资〔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249号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）相关要求，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支持合法用水户将自主节水量进行水权交易。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（责任部门：市水利局、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公共资源交易中心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发挥水资源税杠杆调节作用。严格执行水资源税改革试点要求，对同一用途取用水，地下水税额高于地表水；取用再生水不征收水资源税；疏干排水回收利用部分从低确定税额，外排部分从高确定税额；在水资源严重短缺和超载地区取用水的，除特定行业外，税额标准按照同类型取用水标准的2倍征收；对超计划取用水的，除特定行业外，按照超出计划的比例实行累进征收水资源税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（责任部门：国家税务总局赤峰市税务局、水利局）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动节水产业协同发展。聚焦农牧业、工业、城镇生活节水以及节水服务等领域，在设备生产和技术服务方面，培育一批技术水平高、带动能力强的龙头企业。推动大规模节水设备更新，加快淘汰落后用水设备，推动节水装备升级换代，鼓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城镇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老旧小区开展用水器具改造，实现生活品质和节水效率双提升。积极推广合同节水管理模式。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（责任部门：市发展改革委、工业和信息化局、住房城乡建设局、水利局、农牧局）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加强节水科技研发创新。围绕行业节水技术难点，加快关键技术和重大装备创新突破，积极推动节水、人工增雨等方面的新技术、新产品、新工艺的研发应用，做好节水关键核心及基础共性技术知识产权战略储备。加强空中云水资源开发利用和智能气象节水灌溉技术推广，积极开展跨区域、空地联合增雨作业，助力农牧业抗旱和防沙治沙生态建设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（责任部门：市科技局、工业和信息化局、住房城乡建设局、水利局、农牧局，市气象局）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三、保障措施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（一）加强组织领导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市政府分管水利副市长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负责统筹协调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，充分发挥河湖长制平台作用，全力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推进全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节水行动。各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旗县区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、各部门要坚持“管生产必须管节水、管行业必须管节水、管城乡必须管节水”的要求，压实工作责任，加强协同配合，合力推进节水行动各项任务见行见效。建立跟踪、调度、通报、约谈机制，狠抓工作落实，对进度缓慢的予以通报，对问题严重的约谈相关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（二）加强财政金融支持。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财政部门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统筹中央、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自治区、市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相关专项资金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、债券资金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支持水资源节约集约利用项目，加大水资源节约高效利用投资力度，重点在农业节水改造、再生水利用配置、节水载体建设等方面加大投入。用好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自治区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“节水贷”融资服务平台，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在不新增地方政府隐性债务前提下，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拓展节水投融资模式，鼓励和引导社会资本积极参与节水项目建设和运营，增强节水发展新动能。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yellow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</w:rPr>
        <w:t>）加强节水宣传教育。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各地区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利用世界水日、中国水周、城市节水宣传周等重要节点，积极策划开展形式多样、具有地方和行业特色的节水主题宣传活动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持续加大基本水情宣传教育力度，积极传播节水和洁水观念，倡导“节水即减排”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“节水即治污”等理念，全面增强全社会水忧患意识、水危机意识、水安全意识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引导公众共同践行《公民节约用水行为规范》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开展节水进校园、进机关、进企业、进社区、进农村“五进”活动,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宣传部门和有关媒体加大公益节水宣传力度，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促成全社会养成节约用水的习惯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推进节水宣传教育系统化、常态化、社会化。</w:t>
      </w:r>
    </w:p>
    <w:p>
      <w:pPr>
        <w:spacing w:line="60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附件：赤峰市2025年节水行动目标分解表</w:t>
      </w:r>
    </w:p>
    <w:p>
      <w:pPr>
        <w:spacing w:line="60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赤峰市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2025年节水行动目标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分解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表</w:t>
      </w:r>
    </w:p>
    <w:tbl>
      <w:tblPr>
        <w:tblStyle w:val="8"/>
        <w:tblW w:w="47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100"/>
        <w:gridCol w:w="1183"/>
        <w:gridCol w:w="1296"/>
        <w:gridCol w:w="1523"/>
        <w:gridCol w:w="1067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8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行政区</w:t>
            </w:r>
          </w:p>
        </w:tc>
        <w:tc>
          <w:tcPr>
            <w:tcW w:w="6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用水总量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w w:val="63"/>
                <w:kern w:val="0"/>
                <w:sz w:val="21"/>
                <w:szCs w:val="21"/>
                <w:highlight w:val="none"/>
                <w:fitText w:val="804" w:id="2130093187"/>
              </w:rPr>
              <w:t>（亿立方米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w w:val="63"/>
                <w:kern w:val="0"/>
                <w:sz w:val="21"/>
                <w:szCs w:val="21"/>
                <w:highlight w:val="none"/>
                <w:fitText w:val="804" w:id="2130093187"/>
              </w:rPr>
              <w:t>）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非常规水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源利用量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3"/>
                <w:kern w:val="0"/>
                <w:sz w:val="21"/>
                <w:szCs w:val="21"/>
                <w:highlight w:val="none"/>
                <w:fitText w:val="804" w:id="-1227235"/>
              </w:rPr>
              <w:t>下限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kern w:val="0"/>
                <w:sz w:val="21"/>
                <w:szCs w:val="21"/>
                <w:highlight w:val="none"/>
                <w:fitText w:val="804" w:id="-1227235"/>
              </w:rPr>
              <w:t>值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w w:val="63"/>
                <w:kern w:val="0"/>
                <w:sz w:val="21"/>
                <w:szCs w:val="21"/>
                <w:highlight w:val="none"/>
                <w:fitText w:val="804" w:id="-539601908"/>
              </w:rPr>
              <w:t>（亿立方米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w w:val="63"/>
                <w:kern w:val="0"/>
                <w:sz w:val="21"/>
                <w:szCs w:val="21"/>
                <w:highlight w:val="none"/>
                <w:fitText w:val="804" w:id="-539601908"/>
              </w:rPr>
              <w:t>）</w:t>
            </w:r>
          </w:p>
        </w:tc>
        <w:tc>
          <w:tcPr>
            <w:tcW w:w="22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用水效率</w:t>
            </w:r>
          </w:p>
        </w:tc>
        <w:tc>
          <w:tcPr>
            <w:tcW w:w="5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新增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农业节水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w w:val="63"/>
                <w:kern w:val="0"/>
                <w:sz w:val="21"/>
                <w:szCs w:val="21"/>
                <w:highlight w:val="none"/>
                <w:fitText w:val="804" w:id="1470573921"/>
              </w:rPr>
              <w:t>（万立方米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w w:val="63"/>
                <w:kern w:val="0"/>
                <w:sz w:val="21"/>
                <w:szCs w:val="21"/>
                <w:highlight w:val="none"/>
                <w:fitText w:val="804" w:id="14705739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exact"/>
          <w:jc w:val="center"/>
        </w:trPr>
        <w:tc>
          <w:tcPr>
            <w:tcW w:w="8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8"/>
                <w:kern w:val="0"/>
                <w:sz w:val="21"/>
                <w:szCs w:val="21"/>
                <w:highlight w:val="none"/>
                <w:fitText w:val="905" w:id="-675816117"/>
              </w:rPr>
              <w:t>万元GD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fitText w:val="905" w:id="-675816117"/>
              </w:rPr>
              <w:t>P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0"/>
                <w:kern w:val="0"/>
                <w:sz w:val="21"/>
                <w:szCs w:val="21"/>
                <w:highlight w:val="none"/>
                <w:fitText w:val="905" w:id="-283148596"/>
              </w:rPr>
              <w:t>用水量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kern w:val="0"/>
                <w:sz w:val="21"/>
                <w:szCs w:val="21"/>
                <w:highlight w:val="none"/>
                <w:fitText w:val="905" w:id="-283148596"/>
              </w:rPr>
              <w:t>较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kern w:val="0"/>
                <w:sz w:val="21"/>
                <w:szCs w:val="21"/>
                <w:highlight w:val="none"/>
                <w:fitText w:val="905" w:id="-67495671"/>
              </w:rPr>
              <w:t>2020年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kern w:val="0"/>
                <w:sz w:val="21"/>
                <w:szCs w:val="21"/>
                <w:highlight w:val="none"/>
                <w:fitText w:val="905" w:id="-67495671"/>
              </w:rPr>
              <w:t>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w w:val="95"/>
                <w:kern w:val="0"/>
                <w:sz w:val="21"/>
                <w:szCs w:val="21"/>
                <w:highlight w:val="none"/>
                <w:fitText w:val="905" w:id="1241435780"/>
              </w:rPr>
              <w:t>降率（%）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万元工业增加值用水量较2020年下降率（%）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农田灌溉水有效利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3"/>
                <w:kern w:val="0"/>
                <w:sz w:val="21"/>
                <w:szCs w:val="21"/>
                <w:highlight w:val="none"/>
                <w:fitText w:val="804" w:id="-136819786"/>
              </w:rPr>
              <w:t>用系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kern w:val="0"/>
                <w:sz w:val="21"/>
                <w:szCs w:val="21"/>
                <w:highlight w:val="none"/>
                <w:fitText w:val="804" w:id="-136819786"/>
              </w:rPr>
              <w:t>数</w:t>
            </w:r>
          </w:p>
        </w:tc>
        <w:tc>
          <w:tcPr>
            <w:tcW w:w="5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市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20.23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0.5800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20.00  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0.66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阿鲁科尔沁旗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1.9674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0.0161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20.78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保持2020年水平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0.66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巴林左旗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1.4647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0.0268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21.16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15.11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0.66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巴林右旗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1.9224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0.0012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19.69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14.98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0.65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林西县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0.9262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0.0032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19.56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保持2020年水平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0.68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克什克腾旗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1.9941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0.0100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18.79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2.80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0.64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翁牛特旗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3.0047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0.0606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21.08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20.94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0.66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喀喇沁旗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0.7640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0.0323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20.27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保持2020年水平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0.67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宁城县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1.4263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0.0200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18.20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保持2020年水平 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0.65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敖汉旗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2.8220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0.0173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20.58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0.69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红山区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0.9098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0.2400  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10.75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0.68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元宝山区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0.9442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0.0168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19.49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23.60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0.69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松山区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2.0827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0.1357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21.41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18.49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0.68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81" w:leftChars="266" w:hanging="544" w:hangingChars="200"/>
        <w:jc w:val="both"/>
        <w:textAlignment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eastAsia="zh-CN"/>
        </w:rPr>
        <w:t>新增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</w:rPr>
        <w:t>农业节水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eastAsia="zh-CN"/>
        </w:rPr>
        <w:t>能力指标为预估数，根据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2025年高标准农田建设任务数调整。</w:t>
      </w:r>
    </w:p>
    <w:p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tbl>
      <w:tblPr>
        <w:tblStyle w:val="8"/>
        <w:tblpPr w:leftFromText="181" w:rightFromText="181" w:tblpXSpec="center" w:tblpYSpec="bottom"/>
        <w:tblOverlap w:val="never"/>
        <w:tblW w:w="8837" w:type="dxa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3510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2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202" w:leftChars="1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赤峰市人民政府办公室秘书二科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202" w:rightChars="100"/>
              <w:jc w:val="righ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2025年4月11日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印发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ZZZvO9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qyq5Zd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revisionView w:markup="0"/>
  <w:documentProtection w:formatting="1"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192c9a9d-5b7a-4b75-aa69-3479dff94aa9"/>
  </w:docVars>
  <w:rsids>
    <w:rsidRoot w:val="00000000"/>
    <w:rsid w:val="010073E9"/>
    <w:rsid w:val="03F070F9"/>
    <w:rsid w:val="14F01574"/>
    <w:rsid w:val="1668710C"/>
    <w:rsid w:val="17DA7A45"/>
    <w:rsid w:val="1AAF069A"/>
    <w:rsid w:val="1E7F74DE"/>
    <w:rsid w:val="1F516B5B"/>
    <w:rsid w:val="200941DE"/>
    <w:rsid w:val="20DF5D75"/>
    <w:rsid w:val="211E76E3"/>
    <w:rsid w:val="21303A2F"/>
    <w:rsid w:val="22843ED3"/>
    <w:rsid w:val="248B798D"/>
    <w:rsid w:val="25CC020C"/>
    <w:rsid w:val="27AA20E3"/>
    <w:rsid w:val="2D780D39"/>
    <w:rsid w:val="2F91428E"/>
    <w:rsid w:val="31DC69F2"/>
    <w:rsid w:val="359C1E05"/>
    <w:rsid w:val="359E2391"/>
    <w:rsid w:val="3929223E"/>
    <w:rsid w:val="3B8E4805"/>
    <w:rsid w:val="3BB73BBF"/>
    <w:rsid w:val="3BBE0E4D"/>
    <w:rsid w:val="3E7F20A0"/>
    <w:rsid w:val="3F421C51"/>
    <w:rsid w:val="3FCE0B50"/>
    <w:rsid w:val="41356125"/>
    <w:rsid w:val="42A16911"/>
    <w:rsid w:val="43AC0516"/>
    <w:rsid w:val="44204A82"/>
    <w:rsid w:val="4506027C"/>
    <w:rsid w:val="474550AE"/>
    <w:rsid w:val="47A71181"/>
    <w:rsid w:val="4B3115EC"/>
    <w:rsid w:val="4C1573E2"/>
    <w:rsid w:val="518B2041"/>
    <w:rsid w:val="52541584"/>
    <w:rsid w:val="53C26D4F"/>
    <w:rsid w:val="54351912"/>
    <w:rsid w:val="56EF622F"/>
    <w:rsid w:val="58B647E8"/>
    <w:rsid w:val="5C6313A8"/>
    <w:rsid w:val="5E4B7276"/>
    <w:rsid w:val="5FBD3DDE"/>
    <w:rsid w:val="69F95CD5"/>
    <w:rsid w:val="6A3B4FCC"/>
    <w:rsid w:val="6B5F2761"/>
    <w:rsid w:val="6B6B0BB8"/>
    <w:rsid w:val="6FDC1639"/>
    <w:rsid w:val="75AB0D04"/>
    <w:rsid w:val="766111DA"/>
    <w:rsid w:val="79AC0429"/>
    <w:rsid w:val="7C5D2896"/>
    <w:rsid w:val="7CEE5FD5"/>
    <w:rsid w:val="7FE7118F"/>
    <w:rsid w:val="7FFD7AE0"/>
    <w:rsid w:val="B7B1F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0"/>
    <w:rPr>
      <w:rFonts w:eastAsia="宋体" w:cs="黑体"/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table" w:styleId="9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  <w:style w:type="character" w:customStyle="1" w:styleId="12">
    <w:name w:val="页眉 Char"/>
    <w:basedOn w:val="10"/>
    <w:link w:val="6"/>
    <w:semiHidden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3">
    <w:name w:val="页脚 Char"/>
    <w:basedOn w:val="10"/>
    <w:link w:val="5"/>
    <w:semiHidden/>
    <w:qFormat/>
    <w:uiPriority w:val="0"/>
    <w:rPr>
      <w:rFonts w:ascii="Times New Roman" w:hAnsi="Times New Roman" w:eastAsia="宋体" w:cs="Times New Roman"/>
      <w:sz w:val="28"/>
    </w:rPr>
  </w:style>
  <w:style w:type="character" w:customStyle="1" w:styleId="14">
    <w:name w:val="批注框文本 Char"/>
    <w:basedOn w:val="10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13</Pages>
  <Words>6102</Words>
  <Characters>6523</Characters>
  <Lines>42</Lines>
  <Paragraphs>12</Paragraphs>
  <TotalTime>7</TotalTime>
  <ScaleCrop>false</ScaleCrop>
  <LinksUpToDate>false</LinksUpToDate>
  <CharactersWithSpaces>6587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2024-06-22T11:42:00Z</dcterms:created>
  <dc:creator>AutoBVT</dc:creator>
  <cp:lastModifiedBy>吴玥</cp:lastModifiedBy>
  <cp:lastPrinted>2025-03-22T14:53:00Z</cp:lastPrinted>
  <dcterms:modified xsi:type="dcterms:W3CDTF">2025-04-11T10:31:01Z</dcterms:modified>
  <dc:title>2023年度赤峰市封闭自备水源井工作方案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ED865251ECD5F746E57EF86787BE4061</vt:lpwstr>
  </property>
  <property fmtid="{D5CDD505-2E9C-101B-9397-08002B2CF9AE}" pid="4" name="KSOTemplateDocerSaveRecord">
    <vt:lpwstr>eyJoZGlkIjoiZjAzOGVkY2E2ZDgwNTJkNjc5NTBhZWY3MTVjMWFiNzgiLCJ1c2VySWQiOiIyMzM2MjkzNzMifQ==</vt:lpwstr>
  </property>
</Properties>
</file>