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F670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6"/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0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771876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lang w:val="en-US" w:eastAsia="zh-CN"/>
        </w:rPr>
      </w:pPr>
    </w:p>
    <w:p w14:paraId="020E5785">
      <w:pPr>
        <w:keepNext/>
        <w:keepLines/>
        <w:widowControl w:val="0"/>
        <w:bidi w:val="0"/>
        <w:spacing w:line="360" w:lineRule="auto"/>
        <w:ind w:firstLine="0" w:firstLineChars="0"/>
        <w:jc w:val="center"/>
        <w:outlineLvl w:val="6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36"/>
          <w:szCs w:val="36"/>
          <w:highlight w:val="none"/>
          <w:lang w:val="en-US" w:eastAsia="zh-CN" w:bidi="ar-SA"/>
        </w:rPr>
        <w:t>赤峰市中心城区基准地价内涵说明表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358"/>
        <w:gridCol w:w="1188"/>
        <w:gridCol w:w="1455"/>
        <w:gridCol w:w="925"/>
        <w:gridCol w:w="898"/>
        <w:gridCol w:w="1123"/>
      </w:tblGrid>
      <w:tr w14:paraId="790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0B59BD0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用途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1B4FCD0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商业服务业用地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404FB45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居住用地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0C62493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公共管理与公共服务</w:t>
            </w:r>
          </w:p>
          <w:p w14:paraId="3C888A7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029E920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工矿</w:t>
            </w:r>
          </w:p>
          <w:p w14:paraId="12C4CD0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6C6BA84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仓储</w:t>
            </w:r>
          </w:p>
          <w:p w14:paraId="2999977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用地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5256C428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公用设施用地</w:t>
            </w:r>
          </w:p>
        </w:tc>
      </w:tr>
      <w:tr w14:paraId="311D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195D9B10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设定容积率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114E06E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2.5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4705361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5723E7F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46409A41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68C09E3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05F17484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</w:tr>
      <w:tr w14:paraId="3714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21E0317B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土地开发程度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4DB44DB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七通一平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708E5C3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七通一平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5BD6F02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七通一平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5DB5712F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六通一平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5386D3F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六通一平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6C29B6F9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六通一平</w:t>
            </w:r>
          </w:p>
        </w:tc>
      </w:tr>
      <w:tr w14:paraId="4EFF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268C195A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土地使用年期（年）</w:t>
            </w:r>
          </w:p>
        </w:tc>
        <w:tc>
          <w:tcPr>
            <w:tcW w:w="797" w:type="pct"/>
            <w:tcBorders>
              <w:tl2br w:val="nil"/>
              <w:tr2bl w:val="nil"/>
            </w:tcBorders>
            <w:noWrap w:val="0"/>
            <w:vAlign w:val="center"/>
          </w:tcPr>
          <w:p w14:paraId="175EF6C2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697" w:type="pct"/>
            <w:tcBorders>
              <w:tl2br w:val="nil"/>
              <w:tr2bl w:val="nil"/>
            </w:tcBorders>
            <w:noWrap w:val="0"/>
            <w:vAlign w:val="center"/>
          </w:tcPr>
          <w:p w14:paraId="4351BF0E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854" w:type="pct"/>
            <w:tcBorders>
              <w:tl2br w:val="nil"/>
              <w:tr2bl w:val="nil"/>
            </w:tcBorders>
            <w:noWrap w:val="0"/>
            <w:vAlign w:val="center"/>
          </w:tcPr>
          <w:p w14:paraId="2CB5B636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43" w:type="pct"/>
            <w:tcBorders>
              <w:tl2br w:val="nil"/>
              <w:tr2bl w:val="nil"/>
            </w:tcBorders>
            <w:noWrap w:val="0"/>
            <w:vAlign w:val="center"/>
          </w:tcPr>
          <w:p w14:paraId="4C14CA5D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27" w:type="pct"/>
            <w:tcBorders>
              <w:tl2br w:val="nil"/>
              <w:tr2bl w:val="nil"/>
            </w:tcBorders>
            <w:noWrap w:val="0"/>
            <w:vAlign w:val="center"/>
          </w:tcPr>
          <w:p w14:paraId="2D7D736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0CA76CE7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</w:tr>
      <w:tr w14:paraId="4215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" w:type="pct"/>
            <w:tcBorders>
              <w:tl2br w:val="nil"/>
              <w:tr2bl w:val="nil"/>
            </w:tcBorders>
            <w:noWrap w:val="0"/>
            <w:vAlign w:val="center"/>
          </w:tcPr>
          <w:p w14:paraId="13CA505C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估价期日</w:t>
            </w:r>
          </w:p>
        </w:tc>
        <w:tc>
          <w:tcPr>
            <w:tcW w:w="4077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3289F75">
            <w:pPr>
              <w:widowControl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2024年1月1日</w:t>
            </w:r>
          </w:p>
        </w:tc>
      </w:tr>
    </w:tbl>
    <w:p w14:paraId="76907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楷体" w:hAnsi="楷体" w:eastAsia="楷体" w:cs="Times New Roman"/>
          <w:sz w:val="28"/>
          <w:szCs w:val="28"/>
          <w:highlight w:val="none"/>
        </w:rPr>
      </w:pPr>
      <w:r>
        <w:rPr>
          <w:rFonts w:hint="eastAsia" w:ascii="楷体" w:hAnsi="楷体" w:eastAsia="楷体" w:cs="Times New Roman"/>
          <w:sz w:val="28"/>
          <w:szCs w:val="28"/>
          <w:highlight w:val="none"/>
        </w:rPr>
        <w:t>注：“七通一平”</w:t>
      </w:r>
      <w:r>
        <w:rPr>
          <w:rFonts w:ascii="楷体" w:hAnsi="楷体" w:eastAsia="楷体" w:cs="Times New Roman"/>
          <w:sz w:val="28"/>
          <w:szCs w:val="28"/>
          <w:highlight w:val="none"/>
        </w:rPr>
        <w:t>为宗地红线外通路、通电、通上水、通下水、通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val="en-US" w:eastAsia="zh-CN"/>
        </w:rPr>
        <w:t>暖</w:t>
      </w:r>
      <w:r>
        <w:rPr>
          <w:rFonts w:ascii="楷体" w:hAnsi="楷体" w:eastAsia="楷体" w:cs="Times New Roman"/>
          <w:sz w:val="28"/>
          <w:szCs w:val="28"/>
          <w:highlight w:val="none"/>
        </w:rPr>
        <w:t>、通气、通讯及宗地内场地平整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；“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通一平”</w:t>
      </w:r>
      <w:r>
        <w:rPr>
          <w:rFonts w:ascii="楷体" w:hAnsi="楷体" w:eastAsia="楷体" w:cs="Times New Roman"/>
          <w:sz w:val="28"/>
          <w:szCs w:val="28"/>
          <w:highlight w:val="none"/>
        </w:rPr>
        <w:t>为宗地红线外通路、通电、通上水、通下水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、通讯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Times New Roman"/>
          <w:sz w:val="28"/>
          <w:szCs w:val="28"/>
          <w:highlight w:val="none"/>
          <w:lang w:val="en-US" w:eastAsia="zh-CN"/>
        </w:rPr>
        <w:t>通暖</w:t>
      </w:r>
      <w:r>
        <w:rPr>
          <w:rFonts w:ascii="楷体" w:hAnsi="楷体" w:eastAsia="楷体" w:cs="Times New Roman"/>
          <w:sz w:val="28"/>
          <w:szCs w:val="28"/>
          <w:highlight w:val="none"/>
        </w:rPr>
        <w:t>及宗地内场地平整</w:t>
      </w:r>
      <w:r>
        <w:rPr>
          <w:rFonts w:hint="eastAsia" w:ascii="楷体" w:hAnsi="楷体" w:eastAsia="楷体" w:cs="Times New Roman"/>
          <w:sz w:val="28"/>
          <w:szCs w:val="28"/>
          <w:highlight w:val="none"/>
        </w:rPr>
        <w:t>。</w:t>
      </w:r>
    </w:p>
    <w:p w14:paraId="2144032D">
      <w:pPr>
        <w:keepNext/>
        <w:keepLines/>
        <w:widowControl w:val="0"/>
        <w:bidi w:val="0"/>
        <w:spacing w:line="360" w:lineRule="auto"/>
        <w:ind w:firstLine="0" w:firstLineChars="0"/>
        <w:jc w:val="center"/>
        <w:outlineLvl w:val="6"/>
        <w:rPr>
          <w:rFonts w:hint="eastAsia" w:ascii="Times New Roman" w:hAnsi="Times New Roman" w:eastAsia="宋体" w:cs="Times New Roman"/>
          <w:b/>
          <w:spacing w:val="0"/>
          <w:kern w:val="2"/>
          <w:sz w:val="24"/>
          <w:szCs w:val="20"/>
          <w:highlight w:val="none"/>
          <w:lang w:val="en-US" w:eastAsia="zh-CN" w:bidi="ar-SA"/>
        </w:rPr>
      </w:pPr>
    </w:p>
    <w:p w14:paraId="1F04885E">
      <w:pPr>
        <w:rPr>
          <w:rFonts w:hint="eastAsia" w:ascii="Calibri" w:hAnsi="Calibri" w:eastAsia="宋体" w:cs="Times New Roman"/>
          <w:highlight w:val="none"/>
        </w:rPr>
      </w:pPr>
    </w:p>
    <w:p w14:paraId="1E4FFE60">
      <w:pPr>
        <w:rPr>
          <w:rFonts w:hint="eastAsia" w:ascii="Calibri" w:hAnsi="Calibri" w:eastAsia="宋体" w:cs="Times New Roman"/>
          <w:highlight w:val="none"/>
        </w:rPr>
      </w:pPr>
    </w:p>
    <w:p w14:paraId="19AC9883">
      <w:pPr>
        <w:rPr>
          <w:rFonts w:hint="eastAsia" w:ascii="Calibri" w:hAnsi="Calibri" w:eastAsia="宋体" w:cs="Times New Roman"/>
          <w:highlight w:val="none"/>
        </w:rPr>
      </w:pPr>
    </w:p>
    <w:p w14:paraId="62CC1E4A">
      <w:pPr>
        <w:rPr>
          <w:rFonts w:hint="eastAsia" w:ascii="Calibri" w:hAnsi="Calibri" w:eastAsia="宋体" w:cs="Times New Roman"/>
          <w:highlight w:val="none"/>
        </w:rPr>
      </w:pPr>
    </w:p>
    <w:p w14:paraId="7410222B">
      <w:pPr>
        <w:rPr>
          <w:rFonts w:hint="eastAsia" w:ascii="Calibri" w:hAnsi="Calibri" w:eastAsia="宋体" w:cs="Times New Roman"/>
          <w:highlight w:val="none"/>
        </w:rPr>
      </w:pPr>
    </w:p>
    <w:p w14:paraId="15F71C10">
      <w:pPr>
        <w:rPr>
          <w:rFonts w:hint="eastAsia" w:ascii="Calibri" w:hAnsi="Calibri" w:eastAsia="宋体" w:cs="Times New Roman"/>
          <w:highlight w:val="none"/>
        </w:rPr>
      </w:pPr>
    </w:p>
    <w:p w14:paraId="198B8BA9">
      <w:pPr>
        <w:rPr>
          <w:rFonts w:hint="eastAsia" w:ascii="Calibri" w:hAnsi="Calibri" w:eastAsia="宋体" w:cs="Times New Roman"/>
          <w:highlight w:val="none"/>
        </w:rPr>
      </w:pPr>
    </w:p>
    <w:p w14:paraId="336F7EA1">
      <w:pPr>
        <w:rPr>
          <w:rFonts w:hint="eastAsia" w:ascii="Calibri" w:hAnsi="Calibri" w:eastAsia="宋体" w:cs="Times New Roman"/>
          <w:highlight w:val="none"/>
        </w:rPr>
      </w:pPr>
    </w:p>
    <w:p w14:paraId="41F444A6">
      <w:pPr>
        <w:rPr>
          <w:rFonts w:hint="eastAsia" w:ascii="Calibri" w:hAnsi="Calibri" w:eastAsia="宋体" w:cs="Times New Roman"/>
          <w:highlight w:val="none"/>
        </w:rPr>
      </w:pPr>
    </w:p>
    <w:p w14:paraId="7B549A1B">
      <w:pPr>
        <w:rPr>
          <w:rFonts w:hint="eastAsia" w:ascii="Calibri" w:hAnsi="Calibri" w:eastAsia="宋体" w:cs="Times New Roman"/>
          <w:highlight w:val="none"/>
        </w:rPr>
      </w:pPr>
    </w:p>
    <w:p w14:paraId="357D8C0A">
      <w:pPr>
        <w:rPr>
          <w:rFonts w:hint="eastAsia" w:ascii="Calibri" w:hAnsi="Calibri" w:eastAsia="宋体" w:cs="Times New Roman"/>
          <w:highlight w:val="none"/>
        </w:rPr>
      </w:pPr>
    </w:p>
    <w:p w14:paraId="493DB156">
      <w:pPr>
        <w:rPr>
          <w:rFonts w:hint="eastAsia" w:ascii="Calibri" w:hAnsi="Calibri" w:eastAsia="宋体" w:cs="Times New Roman"/>
          <w:highlight w:val="none"/>
        </w:rPr>
      </w:pPr>
    </w:p>
    <w:p w14:paraId="06BBD42C">
      <w:pPr>
        <w:rPr>
          <w:rFonts w:hint="eastAsia" w:ascii="Calibri" w:hAnsi="Calibri" w:eastAsia="宋体" w:cs="Times New Roman"/>
          <w:highlight w:val="none"/>
        </w:rPr>
      </w:pPr>
    </w:p>
    <w:p w14:paraId="3945D4D7">
      <w:pPr>
        <w:rPr>
          <w:rFonts w:hint="eastAsia" w:ascii="Calibri" w:hAnsi="Calibri" w:eastAsia="宋体" w:cs="Times New Roman"/>
          <w:highlight w:val="none"/>
        </w:rPr>
      </w:pPr>
    </w:p>
    <w:p w14:paraId="74806374">
      <w:pPr>
        <w:rPr>
          <w:rFonts w:hint="eastAsia" w:ascii="Calibri" w:hAnsi="Calibri" w:eastAsia="宋体" w:cs="Times New Roman"/>
          <w:highlight w:val="none"/>
        </w:rPr>
      </w:pPr>
    </w:p>
    <w:p w14:paraId="32CBB393">
      <w:pPr>
        <w:rPr>
          <w:rFonts w:hint="eastAsia" w:ascii="Calibri" w:hAnsi="Calibri" w:eastAsia="宋体" w:cs="Times New Roman"/>
          <w:highlight w:val="none"/>
        </w:rPr>
      </w:pPr>
    </w:p>
    <w:p w14:paraId="2CB63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E49EC"/>
    <w:rsid w:val="0F355602"/>
    <w:rsid w:val="11E608FC"/>
    <w:rsid w:val="2EA52322"/>
    <w:rsid w:val="304A7E50"/>
    <w:rsid w:val="7A3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229</Characters>
  <Lines>0</Lines>
  <Paragraphs>0</Paragraphs>
  <TotalTime>0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2024-12-19T02:52:00Z</dcterms:created>
  <dc:creator>对味</dc:creator>
  <cp:lastModifiedBy>对味</cp:lastModifiedBy>
  <dcterms:modified xsi:type="dcterms:W3CDTF">2025-02-13T01:10:28Z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AF8BF5FA97234050B31EECDE644E4522_13</vt:lpwstr>
  </property>
</Properties>
</file>