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pacing w:val="0"/>
          <w:sz w:val="21"/>
          <w:szCs w:val="21"/>
          <w:vertAlign w:val="baseline"/>
          <w:lang w:eastAsia="zh-CN"/>
        </w:rPr>
      </w:pPr>
      <w:r>
        <w:rPr>
          <w:spacing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1075055</wp:posOffset>
            </wp:positionH>
            <wp:positionV relativeFrom="page">
              <wp:posOffset>1183005</wp:posOffset>
            </wp:positionV>
            <wp:extent cx="5400040" cy="1472565"/>
            <wp:effectExtent l="0" t="0" r="10160" b="0"/>
            <wp:wrapNone/>
            <wp:docPr id="6" name="图片 4" descr="C:\Users\86130\Desktop\市政府\zjk图片\zjk图片\秘书二科\发文\赤政办字.png赤政办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C:\Users\86130\Desktop\市政府\zjk图片\zjk图片\秘书二科\发文\赤政办字.png赤政办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pacing w:val="0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pacing w:val="0"/>
          <w:sz w:val="21"/>
          <w:szCs w:val="21"/>
          <w:vertAlign w:val="baseline"/>
          <w:lang w:eastAsia="zh-CN"/>
        </w:rPr>
      </w:pPr>
    </w:p>
    <w:tbl>
      <w:tblPr>
        <w:tblStyle w:val="11"/>
        <w:tblpPr w:leftFromText="180" w:rightFromText="180" w:vertAnchor="text" w:horzAnchor="page" w:tblpXSpec="center" w:tblpY="437"/>
        <w:tblOverlap w:val="never"/>
        <w:tblW w:w="8844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exact"/>
          <w:jc w:val="center"/>
        </w:trPr>
        <w:tc>
          <w:tcPr>
            <w:tcW w:w="8844" w:type="dxa"/>
            <w:tcBorders>
              <w:top w:val="single" w:color="FF0000" w:sz="36" w:space="0"/>
              <w:bottom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313" w:beforeLines="100" w:line="560" w:lineRule="exact"/>
              <w:jc w:val="right"/>
              <w:textAlignment w:val="auto"/>
              <w:rPr>
                <w:spacing w:val="0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before="313" w:beforeLines="100"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844" w:type="dxa"/>
            <w:tcBorders>
              <w:top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22860</wp:posOffset>
                      </wp:positionV>
                      <wp:extent cx="2794000" cy="330200"/>
                      <wp:effectExtent l="0" t="0" r="10160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75710" y="2797810"/>
                                <a:ext cx="27940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6240" w:lineRule="auto"/>
                                    <w:ind w:right="105" w:rightChars="50"/>
                                    <w:jc w:val="right"/>
                                    <w:textAlignment w:val="auto"/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 w:val="0"/>
                                      <w:spacing w:val="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赤政办字〔2026〕2号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9pt;margin-top:1.8pt;height:26pt;width:220pt;z-index:251660288;mso-width-relative:page;mso-height-relative:page;" fillcolor="#FFFFFF [3201]" filled="t" stroked="f" coordsize="21600,21600" o:gfxdata="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FqyRfLTAAAACAEAAA8AAAAAAAAAAQAgAAAAOAAAAGRycy9kb3ducmV2LnhtbFBL&#10;AQIUABQAAAAIAIdO4kDRFBrcVwIAAJsEAAAOAAAAAAAAAAEAIAAAADgBAABkcnMvZTJvRG9jLnht&#10;bFBLBQYAAAAABgAGAFkBAAABBg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240" w:lineRule="auto"/>
                              <w:ind w:right="105" w:rightChars="50"/>
                              <w:jc w:val="right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赤政办字〔2026〕2号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赤峰市人民政府办公室关于公布2025年度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赤峰市农牧业产业化重点龙头企业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认定名单及监测结果的通知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各旗县区人民政府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市直有关委办局：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为进一步推进农牧业产业化经营和龙头企业发展，根据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《赤峰市农牧业产业化重点龙头企业认定和运行监测管理办法》（赤农牧产发〔2021〕26号）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要求，我市组织开展了202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年度赤峰市农牧业产业化重点龙头企业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申报及监测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工作。经企业申报、旗县区人民政府推荐、实地核查、会议评审、网上公示，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家新认定企业名单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、107家监测合格企业名单、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41家监测不合格企业名单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部门要积极培育壮大农牧业产业化龙头企业队伍，提升龙头企业层次水平，发挥龙头企业主力军作用，加大政策扶持，加强指导服务，让龙头企业成为增强乡村产业发展活力的领头羊，构建乡村产业体系的排头兵，树立支持龙头企业发展就是支持农牧民的理念，为企业发展创造优良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。各有关部门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要加强对农牧业产业化重点龙头企业运行情况的监督管理，把竞争淘汰机制落到实处。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各重点龙头企业要不断增强社会责任感，充分发挥辐射带动作用，要完善利益共享、风险共担、合作协同、互惠共赢的联农带农机制，为促进我市农牧业发展、农牧民增收做出更大贡献。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年度赤峰市农牧业产业化重点龙头企业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年度赤峰市农牧业产业化重点龙头企业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合格企业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年度赤峰市农牧业产业化重点龙头企业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不合格企业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99" w:firstLineChars="1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赤峰市人民政府办公室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1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2025年度赤峰市农牧业产业化重点龙头企业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新认定企业名单（28家）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巴林左旗（2家）：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1.巴林左旗嘉源农贸市场有限公司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2.内蒙古粮道酒业有限责任公司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巴林右旗（1家）：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1.内蒙古田园稻香农业发展有限公司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林西县（2家）：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1.赤峰市宇霖农牧业科技发展有限公司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2.内蒙古林西县老三区杂粮工贸有限公司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克什克腾旗（1家）：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1.克什克腾旗每选肉食加工有限公司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翁牛特旗（6家）：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1.赤峰润昊农牧业科技有限公司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2.翁牛特旗威奇商贸有限责任公司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3.赤峰北方粮仓农业科技有限公司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4.翁牛特旗万福米业有限公司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5.翁牛特旗蒙田食品科技有限公司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6.赤峰隆青农牧业有限公司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喀喇沁旗（2家）：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1.喀喇沁旗娜兰肉牛养殖有限公司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2.内蒙古民荣中药材有限责任公司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宁城县（8家）：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1.内蒙古爱牧动物保健品有限公司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2.宁城县双兴包装制品有限公司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3.内蒙古佳之杏农业发展有限责任公司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4.宁城县军涛粮食购销有限公司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5.内蒙古旭景农业发展有限公司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6.赤峰谷润粮油有限公司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7.宁城县金满屯粮食贸易有限公司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8.赤峰市企盈农业有限公司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敖汉旗（1家）：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1.内蒙古农老头农业发展有限公司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红山区（1家）：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1.内蒙古鲜味到家农产品物流有限公司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元宝山区（2家）：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1.内蒙古科为博生物科技有限公司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2.赤峰三仔虎商贸有限公司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松山区（2家）：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1.赤峰蒙峰农业科技发展有限公司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2.赤峰江鸿粮油工贸有限公司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2025年度赤峰市农牧业产业化重点龙头企业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监测合格</w:t>
      </w:r>
      <w:r>
        <w:rPr>
          <w:rFonts w:hint="eastAsia" w:ascii="方正小标宋简体" w:hAnsi="宋体" w:eastAsia="方正小标宋简体"/>
          <w:sz w:val="44"/>
          <w:szCs w:val="44"/>
        </w:rPr>
        <w:t>企业名单（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107</w:t>
      </w:r>
      <w:r>
        <w:rPr>
          <w:rFonts w:hint="eastAsia" w:ascii="方正小标宋简体" w:hAnsi="宋体" w:eastAsia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1" w:firstLineChars="1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阿鲁科尔沁旗（12家）：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1.阿鲁科尔沁旗天山肉联有限责任公司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2.阿鲁科尔沁旗天柱农牧业有限责任公司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3.阿鲁科尔沁旗诚实信用米业有限公司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4.赤峰澳亚现代牧场有限公司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5.内蒙古汇源农业开发有限公司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6.阿鲁科尔沁旗利隆米业有限公司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7.阿鲁科尔沁旗珍珠粮米加工有限责任公司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8.内蒙古金秋牛业有限公司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9.内蒙古凌云海糖业科技集团有限公司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10.内蒙古草都草牧业生态科技有限责任公司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11.赤峰牧原绒毛制品有限责任公司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12.阿鲁科尔沁旗鑫禾农牧业有限公司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巴林左旗（22家）：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1.巴林左旗富肥活畜交易市场有限公司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2.巴林左旗实在人食品加工有限公司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3.巴林左旗利源食品有限公司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4.赤峰巴林左旗福山畜禽有限责任公司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5.赤峰市汇民粮油工贸有限公司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6.赤峰德润食品产业有限公司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7.内蒙古良欣农牧业开发有限公司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8.内蒙古达丰有机农业发展有限公司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9.巴林左旗清爽保洁制品有限公司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10.巴林左旗亿亨源草编制品有限公司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11.巴林左旗福山食品有限责任公司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12.巴林左旗鑫潼酒业有限公司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13.巴林左旗兴海食品有限公司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14.赤峰双利粮贸有限公司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15.巴林左旗中金驴业有限公司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16.巴林左旗思源食品有限公司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17.巴林左旗炳盛养殖专业合作社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18.赤峰蒙安肥业有限公司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19.巴林左旗众良蚯蚓科技有限公司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20.赤峰市老农乐果品有限公司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21.巴林左旗文慧种植专业合作社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22.巴林左旗大田农资有限公司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巴林右旗（3家）：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1.赤峰吉祥牧民食品有限公司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2.内蒙古源里牧业发展有限公司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3.赤峰远古生态农业科技发展有限公司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林西县（6家）：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1.林西县绿禾园食品加工有限公司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2.林西县禾丰农产品有限责任公司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3.赤峰市牧源草业饲料有限责任公司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4.林西县万羴商贸有限公司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5.林西县百业兴商贸有限公司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6.内蒙古虹驰牧业有限公司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克什克腾旗（9家）：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1.内蒙古浩源农牧业发展有限责任公司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2.克什克腾旗康宏农产品有限责任公司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3.克什克腾旗和丰源养殖专业合作社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4.克什克腾旗环宇农产品有限责任公司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5.克什克腾旗蒙鲜有机畜牧有限公司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6.克什克腾旗鑫地种植专业合作社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7.克什克腾旗天香食品有限公司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8.内蒙古悦禾生物科技有限责任公司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9.内蒙古勤桐牧业发展有限责任公司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翁牛特旗（14家）：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1.赤峰木旺林业服务有限公司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2.翁牛特旗佳航米业有限公司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3.翁牛特旗香泉农副产品购销有限公司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4.赤峰市蒙峰炒坊有限公司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5.翁牛特旗弘腾米业有限责任公司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6.赤峰圣泉生态牧业有限公司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7.赤峰满润商贸有限公司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8.翁牛特旗金鹤泓泰商贸有限责任公司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9.内蒙古久华粮油食品有限公司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10.赤峰绿仁粮食贸易有限公司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11.翁牛特旗祥禾农副产品购销有限责任公司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12.翁牛特旗利和粮油购销有限公司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13.内蒙古康凯乳品制作有限公司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14.翁牛特旗宇博种植养殖专业合作社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喀喇沁旗（2家）：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1.喀喇沁旗中昊物资有限公司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2.内蒙古达盛堂中药材销售有限公司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宁城县（10家）：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1.宁城民族红酒业有限公司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2.宁城县同创饲料有限公司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3.赤峰亿豪肉羊产业有限公司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4.赤峰市朝震粮食贸易有限公司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5.内蒙古六慧菌业有限公司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6.赤峰市宁润现代农业发展有限公司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7.内蒙古宁城县口头福调味品有限公司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8.宁城县绿草地养殖专业合作社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9.赤峰市盛存粮贸有限公司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10.宁城华东饲料有限责任公司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敖汉旗（11家）：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1.敖汉旗盛远农副产品购销有限公司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2.敖汉旗树发粮食加工有限公司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3.敖汉弘源米业有限公司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4.内蒙古八千粟农业发展有限责任公司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5.内蒙古桂柳牧业有限公司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6.敖汉旗龙兴国有资本运营（集团）有限责任公司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7.敖汉旗惠隆杂粮种植农民专业合作社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8.敖汉旗大禾农业种植研发有限公司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9.敖汉旗天润葵花种植农民专业合作社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10.敖汉旗热心谷农业科技有限公司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11.敖汉旗维远米业有限公司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红山区（7家）：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1.赤峰市嘉润生物科技有限责任公司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2.内蒙古普康药业有限公司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3.内蒙古喜利来食品有限责任公司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4.内蒙古牧乡春食品有限公司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5.内蒙古牧诺食品科技有限公司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6.赤峰宏牧士饲料有限责任公司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7.内蒙古缘汁果食品有限公司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元宝山区（7家）：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1.赤峰市房身盛源农业科技有限责任公司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2.赤峰市元宝山区北台子肉羊养殖专业合作社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3.赤峰小山村商贸有限公司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4.内蒙古巧牧商贸有限责任公司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5.赤峰嘉峰农牧业科技有限责任公司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6.赤峰中凯食品有限公司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7.赤峰田沃有机肥厂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松山区（4家）：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1.赤峰聚丰商贸有限公司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2.内蒙古丰穰农业科技有限公司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3.赤峰市松山区祥达食品厂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4.赤峰润财粮油购销有限公司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1" w:firstLineChars="1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1" w:firstLineChars="1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2025年度赤峰市农牧业产业化重点龙头企业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监测不合格</w:t>
      </w:r>
      <w:r>
        <w:rPr>
          <w:rFonts w:hint="eastAsia" w:ascii="方正小标宋简体" w:hAnsi="宋体" w:eastAsia="方正小标宋简体"/>
          <w:sz w:val="44"/>
          <w:szCs w:val="44"/>
        </w:rPr>
        <w:t>企业名单（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41</w:t>
      </w:r>
      <w:r>
        <w:rPr>
          <w:rFonts w:hint="eastAsia" w:ascii="方正小标宋简体" w:hAnsi="宋体" w:eastAsia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阿鲁科尔沁旗（5家）：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1.阿鲁科尔沁旗大众食品有限责任公司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2.内蒙古原野集团现代农业科技有限公司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3.阿鲁科尔沁旗道德种畜养殖有限公司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4.阿鲁科尔沁旗富山米业有限公司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5.内蒙古沃金农业有限公司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巴林左旗（2家）：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1.巴林左旗超越种养殖专业合作社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2.赤峰万青农牧业发展专业合作社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巴林右旗（4家）：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1.巴林右旗赛罕乌拉牧业有限责任公司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2.巴林右旗脑图嘎农牧业开发有限公司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3.内蒙古金尔丰生物科技有限公司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4.内蒙古喜羚牧业科技有限公司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林西县（2家）：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1.内蒙古弘图药业有限公司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2.林西县春启生物科技有限公司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克什克腾旗（3家）：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1.克什克腾旗永胜农牧专业合作社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2.克什克腾旗兴农生态农业科技有限公司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3.克什克腾旗巴特今生农牧业科技有限公司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翁牛特旗（3家）：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1.翁牛特旗西拉沐沦农牧业有限公司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2.翁牛特旗吴氏米业有限公司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3.内蒙古田鑫食品有限公司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喀喇沁旗（1家）：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1.喀喇沁旗天地御牛牛业有限公司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宁城县（5家）：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1.宁城县荞园食品厂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2.宁城县立志果蔬专业合作社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3.宁城县宁河源酒业有限公司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4.宁城县海汇果蔬加工有限公司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5.宁城县康健三特农牧发展有限公司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敖汉旗（4家）：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1.赤峰市正泰牧业有限公司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2.内蒙古惠香园食品有限责任公司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3.赤峰圣著农业科技有限公司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4.内蒙古延泽药业有限公司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红山区（2家）：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1.内蒙古和牧库伦情食品有限公司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2.赤峰盛汇仓储服务有限责任公司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元宝山区（2家）：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1.赤峰百利农牧业有限公司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2.赤峰博恩药业有限公司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松山区（8家）：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1.赤峰神农工贸有限公司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2.赤峰市顺合圆养殖服务农民专业合作社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3.内蒙古宜鲜食品有限公司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4.赤峰洽林商贸有限公司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5.赤峰市方越食品有限公司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6.内蒙古奥兰维绒业有限公司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7.赤峰市松山区天富饲料有限公司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8.赤峰市鑫味佳调料食品加工厂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1" w:firstLineChars="100"/>
        <w:textAlignment w:val="auto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42" w:firstLineChars="200"/>
        <w:textAlignment w:val="auto"/>
        <w:rPr>
          <w:rFonts w:hint="default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Lb6rKf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MA3bAj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pPr w:leftFromText="181" w:rightFromText="181" w:vertAnchor="page" w:horzAnchor="page" w:tblpX="1655" w:tblpY="14866"/>
      <w:tblW w:w="8840" w:type="dxa"/>
      <w:tblInd w:w="0" w:type="dxa"/>
      <w:tblBorders>
        <w:top w:val="none" w:color="auto" w:sz="0" w:space="0"/>
        <w:left w:val="none" w:color="auto" w:sz="0" w:space="0"/>
        <w:bottom w:val="single" w:color="FF0000" w:sz="36" w:space="0"/>
        <w:right w:val="none" w:color="auto" w:sz="0" w:space="0"/>
        <w:insideH w:val="none" w:color="auto" w:sz="0" w:space="0"/>
        <w:insideV w:val="single" w:color="FF0000" w:sz="3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840"/>
    </w:tblGrid>
    <w:tr>
      <w:tblPrEx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single" w:color="FF0000" w:sz="3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91" w:hRule="exact"/>
      </w:trPr>
      <w:tc>
        <w:tcPr>
          <w:tcW w:w="8840" w:type="dxa"/>
          <w:tcBorders>
            <w:top w:val="single" w:color="FF0000" w:sz="12" w:space="0"/>
            <w:tl2br w:val="nil"/>
            <w:tr2bl w:val="nil"/>
          </w:tcBorders>
          <w:noWrap w:val="0"/>
          <w:vAlign w:val="bottom"/>
        </w:tcPr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80" w:lineRule="auto"/>
            <w:jc w:val="both"/>
            <w:textAlignment w:val="auto"/>
            <w:rPr>
              <w:rFonts w:hint="default" w:ascii="仿宋" w:hAnsi="仿宋" w:eastAsia="宋体" w:cs="仿宋"/>
              <w:b w:val="0"/>
              <w:bCs w:val="0"/>
              <w:color w:val="FFFFFF"/>
              <w:sz w:val="32"/>
              <w:szCs w:val="32"/>
              <w:lang w:val="en-US" w:eastAsia="zh-CN"/>
            </w:rPr>
          </w:pPr>
          <w:r>
            <w:rPr>
              <w:rFonts w:hint="default"/>
              <w:color w:val="FFFFFF"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posOffset>4749165</wp:posOffset>
                    </wp:positionH>
                    <wp:positionV relativeFrom="page">
                      <wp:posOffset>157480</wp:posOffset>
                    </wp:positionV>
                    <wp:extent cx="635" cy="635"/>
                    <wp:effectExtent l="0" t="0" r="0" b="0"/>
                    <wp:wrapNone/>
                    <wp:docPr id="2" name="文本框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7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— 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000000"/>
                                  </w:rPr>
                                  <w:t>- 0 -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4" o:spid="_x0000_s1026" o:spt="202" type="#_x0000_t202" style="position:absolute;left:0pt;margin-left:373.95pt;margin-top:12.4pt;height:0.05pt;width:0.05pt;mso-position-horizontal-relative:margin;mso-position-vertical-relative:page;mso-wrap-style:none;z-index:-251653120;mso-width-relative:page;mso-height-relative:page;" fillcolor="#FFFFFF" filled="t" stroked="f" coordsize="21600,21600" o:gfxdata="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OXPTDZAAAACQEAAA8AAAAAAAAAAQAgAAAAOAAAAGRycy9kb3ducmV2LnhtbFBLAQIU&#10;ABQAAAAIAIdO4kDzGs9I3AEAAL4DAAAOAAAAAAAAAAEAIAAAAD4BAABkcnMvZTJvRG9jLnhtbFBL&#10;BQYAAAAABgAGAFkBAACMBQAAAAA=&#10;">
                    <v:fill on="t" opacity="0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7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- 0 -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635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0.05pt;width:0.05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ZTiWXMAAAA/wAAAA8AAAAA&#10;AAAAAQAgAAAAOAAAAGRycy9kb3ducmV2LnhtbFBLAQIUABQAAAAIAIdO4kAw6mgs0QEAAJ0DAAAO&#10;AAAAAAAAAAEAIAAAAD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cd79d35d-6fd7-43c5-95a5-50e3d93368ce"/>
  </w:docVars>
  <w:rsids>
    <w:rsidRoot w:val="00000000"/>
    <w:rsid w:val="010073E9"/>
    <w:rsid w:val="03E05C76"/>
    <w:rsid w:val="03F070F9"/>
    <w:rsid w:val="04A96068"/>
    <w:rsid w:val="093B4988"/>
    <w:rsid w:val="093F51ED"/>
    <w:rsid w:val="0B284F1A"/>
    <w:rsid w:val="0B3934CE"/>
    <w:rsid w:val="0BA21048"/>
    <w:rsid w:val="0BA93502"/>
    <w:rsid w:val="0D1E7B41"/>
    <w:rsid w:val="0D3F0580"/>
    <w:rsid w:val="10163C52"/>
    <w:rsid w:val="119836EC"/>
    <w:rsid w:val="142340D9"/>
    <w:rsid w:val="14BE6568"/>
    <w:rsid w:val="14F01574"/>
    <w:rsid w:val="16606956"/>
    <w:rsid w:val="1668710C"/>
    <w:rsid w:val="168B3820"/>
    <w:rsid w:val="1848206E"/>
    <w:rsid w:val="18A85CFD"/>
    <w:rsid w:val="18F27B86"/>
    <w:rsid w:val="19A7659B"/>
    <w:rsid w:val="1A8A0B46"/>
    <w:rsid w:val="1AF211D2"/>
    <w:rsid w:val="1C146065"/>
    <w:rsid w:val="1C7A08B3"/>
    <w:rsid w:val="1CEB4440"/>
    <w:rsid w:val="1E4946EC"/>
    <w:rsid w:val="1E7F74DE"/>
    <w:rsid w:val="1F516B5B"/>
    <w:rsid w:val="200941DE"/>
    <w:rsid w:val="22843ED3"/>
    <w:rsid w:val="23240CDA"/>
    <w:rsid w:val="23E07262"/>
    <w:rsid w:val="24013925"/>
    <w:rsid w:val="248B798D"/>
    <w:rsid w:val="250A14D1"/>
    <w:rsid w:val="262670C1"/>
    <w:rsid w:val="27156AC9"/>
    <w:rsid w:val="27AC7A16"/>
    <w:rsid w:val="2C216ECA"/>
    <w:rsid w:val="2F436F36"/>
    <w:rsid w:val="30D05200"/>
    <w:rsid w:val="310D3357"/>
    <w:rsid w:val="31DC69F2"/>
    <w:rsid w:val="33306488"/>
    <w:rsid w:val="340F25DA"/>
    <w:rsid w:val="359C1E05"/>
    <w:rsid w:val="359E2391"/>
    <w:rsid w:val="35A818A1"/>
    <w:rsid w:val="3A9B552C"/>
    <w:rsid w:val="3AC23405"/>
    <w:rsid w:val="3B1E43B3"/>
    <w:rsid w:val="3B5937C8"/>
    <w:rsid w:val="3BB73BBF"/>
    <w:rsid w:val="3D80091D"/>
    <w:rsid w:val="3EDC6A5F"/>
    <w:rsid w:val="3F421C51"/>
    <w:rsid w:val="3FCE0B50"/>
    <w:rsid w:val="41356125"/>
    <w:rsid w:val="418657CB"/>
    <w:rsid w:val="42022E95"/>
    <w:rsid w:val="42A16911"/>
    <w:rsid w:val="43AC0516"/>
    <w:rsid w:val="44204A82"/>
    <w:rsid w:val="44D2693A"/>
    <w:rsid w:val="4506027C"/>
    <w:rsid w:val="451B673D"/>
    <w:rsid w:val="454C20ED"/>
    <w:rsid w:val="45B65CB5"/>
    <w:rsid w:val="46245D86"/>
    <w:rsid w:val="46B13012"/>
    <w:rsid w:val="47683C60"/>
    <w:rsid w:val="492A41A0"/>
    <w:rsid w:val="49BB5BEF"/>
    <w:rsid w:val="4B3115EC"/>
    <w:rsid w:val="4BB46D99"/>
    <w:rsid w:val="4D760922"/>
    <w:rsid w:val="4E5E04A0"/>
    <w:rsid w:val="4EB1136E"/>
    <w:rsid w:val="525E7A5F"/>
    <w:rsid w:val="5571146A"/>
    <w:rsid w:val="56EF622F"/>
    <w:rsid w:val="579161E1"/>
    <w:rsid w:val="5BC052E6"/>
    <w:rsid w:val="5C2C7B3B"/>
    <w:rsid w:val="5C6313A8"/>
    <w:rsid w:val="5EA547D2"/>
    <w:rsid w:val="5F532672"/>
    <w:rsid w:val="5FF05A6E"/>
    <w:rsid w:val="60DF28B7"/>
    <w:rsid w:val="6106379C"/>
    <w:rsid w:val="61250B85"/>
    <w:rsid w:val="62514EEA"/>
    <w:rsid w:val="63387E58"/>
    <w:rsid w:val="649E3CEB"/>
    <w:rsid w:val="66131848"/>
    <w:rsid w:val="66791A03"/>
    <w:rsid w:val="66D03393"/>
    <w:rsid w:val="679B2764"/>
    <w:rsid w:val="69F95CD5"/>
    <w:rsid w:val="6A3B4FCC"/>
    <w:rsid w:val="6B5477F9"/>
    <w:rsid w:val="6B6B0BB8"/>
    <w:rsid w:val="6C325DE4"/>
    <w:rsid w:val="6D4400E5"/>
    <w:rsid w:val="705866D1"/>
    <w:rsid w:val="70D72B00"/>
    <w:rsid w:val="7306064B"/>
    <w:rsid w:val="73CB63C9"/>
    <w:rsid w:val="74813FCA"/>
    <w:rsid w:val="752124FA"/>
    <w:rsid w:val="75EB5A68"/>
    <w:rsid w:val="76890D73"/>
    <w:rsid w:val="79242628"/>
    <w:rsid w:val="7A5D6D55"/>
    <w:rsid w:val="7A63258C"/>
    <w:rsid w:val="7CEE5FD5"/>
    <w:rsid w:val="7D637B7D"/>
    <w:rsid w:val="7D9F264A"/>
    <w:rsid w:val="7EED5B43"/>
    <w:rsid w:val="7FE7118F"/>
    <w:rsid w:val="7FFFE6A3"/>
    <w:rsid w:val="A32E00E6"/>
    <w:rsid w:val="D7E19F80"/>
    <w:rsid w:val="E98E004C"/>
    <w:rsid w:val="EF7646E9"/>
    <w:rsid w:val="FF9B8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32"/>
    </w:rPr>
  </w:style>
  <w:style w:type="paragraph" w:styleId="6">
    <w:name w:val="Balloon Text"/>
    <w:basedOn w:val="1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8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eastAsia="仿宋_GB2312" w:cs="Times New Roman"/>
      <w:b/>
      <w:sz w:val="32"/>
      <w:szCs w:val="3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  <w:style w:type="character" w:customStyle="1" w:styleId="14">
    <w:name w:val="页眉 Char"/>
    <w:link w:val="8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5">
    <w:name w:val="页脚 Char"/>
    <w:link w:val="7"/>
    <w:qFormat/>
    <w:uiPriority w:val="99"/>
    <w:rPr>
      <w:rFonts w:ascii="Times New Roman" w:hAnsi="Times New Roman" w:eastAsia="仿宋_GB2312" w:cs="Times New Roman"/>
      <w:sz w:val="28"/>
    </w:rPr>
  </w:style>
  <w:style w:type="character" w:customStyle="1" w:styleId="16">
    <w:name w:val="日期 Char"/>
    <w:link w:val="5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13</Pages>
  <Words>3560</Words>
  <Characters>3819</Characters>
  <Lines>32</Lines>
  <Paragraphs>9</Paragraphs>
  <TotalTime>14</TotalTime>
  <ScaleCrop>false</ScaleCrop>
  <LinksUpToDate>false</LinksUpToDate>
  <CharactersWithSpaces>3824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2011-04-23T02:45:00Z</dcterms:created>
  <dc:creator>MC SYSTEM</dc:creator>
  <cp:lastModifiedBy>吴玥</cp:lastModifiedBy>
  <cp:lastPrinted>2023-11-28T01:37:00Z</cp:lastPrinted>
  <dcterms:modified xsi:type="dcterms:W3CDTF">2026-01-19T14:43:07Z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3D93A89AABAD86EF7BD26D696141170D</vt:lpwstr>
  </property>
  <property fmtid="{D5CDD505-2E9C-101B-9397-08002B2CF9AE}" pid="4" name="KSOTemplateDocerSaveRecord">
    <vt:lpwstr>eyJoZGlkIjoiYzNhMThiMjRmMjY1MGI1YjhiMmJjZDE1MjY3MjE1MDUiLCJ1c2VySWQiOiIyMjMzNzgyMjMifQ==</vt:lpwstr>
  </property>
</Properties>
</file>