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4"/>
        <w:gridCol w:w="2100"/>
        <w:gridCol w:w="1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附件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2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黑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40"/>
                <w:szCs w:val="40"/>
                <w:lang w:bidi="ar"/>
              </w:rPr>
              <w:t>2018年全市主要经济指标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40"/>
                <w:szCs w:val="40"/>
                <w:lang w:bidi="ar"/>
              </w:rPr>
              <w:br w:type="textWrapping"/>
            </w: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40"/>
                <w:szCs w:val="40"/>
                <w:lang w:bidi="ar"/>
              </w:rPr>
              <w:t>完成情况和2019年预期目标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/>
                <w:sz w:val="30"/>
                <w:szCs w:val="30"/>
              </w:rPr>
            </w:pP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/>
                <w:sz w:val="30"/>
                <w:szCs w:val="3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bidi="ar"/>
              </w:rPr>
              <w:t>指标名称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bidi="ar"/>
              </w:rPr>
              <w:t>2018年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bidi="ar"/>
              </w:rPr>
              <w:t>增长速度（%）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bidi="ar"/>
              </w:rPr>
              <w:t>2019年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bidi="ar"/>
              </w:rPr>
              <w:t>预期目标（%）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地区生产总值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6左右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一般公共预算收入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7.5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6左右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500万元以上项目固定资产投资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—17.5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11左右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社会消费品零售总额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7.5左右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城镇常住居民人均可支配收入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7.7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7.5左右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农村牧区常住居民人均可支配收入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9.9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9左右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居民消费价格涨幅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1.9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3左右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城镇登记失业率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3.81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4以内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节能减排降碳指标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完成国家和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自治区下达的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任务目标</w:t>
            </w:r>
          </w:p>
        </w:tc>
      </w:tr>
    </w:tbl>
    <w:p/>
    <w:sectPr>
      <w:pgSz w:w="11906" w:h="16838"/>
      <w:pgMar w:top="1440" w:right="1800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4A50"/>
    <w:rsid w:val="3DC5642D"/>
    <w:rsid w:val="3F6E4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2019-03-13T01:34:00Z</dcterms:created>
  <dc:creator>指甲油bs</dc:creator>
  <cp:lastModifiedBy>指甲油bs</cp:lastModifiedBy>
  <dcterms:modified xsi:type="dcterms:W3CDTF">2019-03-13T01:35:21Z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