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ascii="黑体" w:hAnsi="黑体" w:eastAsia="黑体"/>
          <w:sz w:val="30"/>
          <w:szCs w:val="30"/>
        </w:rPr>
      </w:pPr>
      <w:r>
        <w:rPr>
          <w:rFonts w:hint="eastAsia" w:ascii="黑体" w:hAnsi="黑体" w:eastAsia="黑体"/>
          <w:sz w:val="30"/>
          <w:szCs w:val="30"/>
        </w:rPr>
        <w:t>附件1</w:t>
      </w:r>
    </w:p>
    <w:p>
      <w:pPr>
        <w:spacing w:line="540" w:lineRule="exact"/>
        <w:jc w:val="center"/>
        <w:rPr>
          <w:rFonts w:ascii="方正小标宋简体" w:eastAsia="方正小标宋简体"/>
          <w:sz w:val="40"/>
          <w:szCs w:val="40"/>
        </w:rPr>
      </w:pPr>
      <w:r>
        <w:rPr>
          <w:rFonts w:hint="eastAsia" w:ascii="方正小标宋简体" w:eastAsia="方正小标宋简体"/>
          <w:sz w:val="40"/>
          <w:szCs w:val="40"/>
        </w:rPr>
        <w:t>赤峰市人民政府抗震救灾指挥部工作组组成及职责分工</w:t>
      </w:r>
    </w:p>
    <w:tbl>
      <w:tblPr>
        <w:tblStyle w:val="3"/>
        <w:tblpPr w:leftFromText="180" w:rightFromText="180" w:vertAnchor="text" w:horzAnchor="page" w:tblpX="1483" w:tblpY="151"/>
        <w:tblOverlap w:val="never"/>
        <w:tblW w:w="13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755"/>
        <w:gridCol w:w="1515"/>
        <w:gridCol w:w="2235"/>
        <w:gridCol w:w="7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21" w:type="dxa"/>
            <w:shd w:val="clear" w:color="auto" w:fill="auto"/>
            <w:vAlign w:val="center"/>
          </w:tcPr>
          <w:p>
            <w:pPr>
              <w:spacing w:line="300" w:lineRule="exact"/>
              <w:jc w:val="center"/>
              <w:rPr>
                <w:rFonts w:ascii="黑体" w:hAnsi="黑体" w:eastAsia="黑体"/>
              </w:rPr>
            </w:pPr>
            <w:r>
              <w:rPr>
                <w:rFonts w:hint="eastAsia" w:ascii="黑体" w:hAnsi="黑体" w:eastAsia="黑体"/>
              </w:rPr>
              <w:t>序号</w:t>
            </w:r>
          </w:p>
        </w:tc>
        <w:tc>
          <w:tcPr>
            <w:tcW w:w="1755" w:type="dxa"/>
            <w:shd w:val="clear" w:color="auto" w:fill="auto"/>
            <w:vAlign w:val="center"/>
          </w:tcPr>
          <w:p>
            <w:pPr>
              <w:spacing w:line="300" w:lineRule="exact"/>
              <w:jc w:val="center"/>
              <w:rPr>
                <w:rFonts w:ascii="黑体" w:hAnsi="黑体" w:eastAsia="黑体"/>
              </w:rPr>
            </w:pPr>
            <w:r>
              <w:rPr>
                <w:rFonts w:hint="eastAsia" w:ascii="黑体" w:hAnsi="黑体" w:eastAsia="黑体"/>
              </w:rPr>
              <w:t>工作组</w:t>
            </w:r>
          </w:p>
        </w:tc>
        <w:tc>
          <w:tcPr>
            <w:tcW w:w="1515" w:type="dxa"/>
            <w:shd w:val="clear" w:color="auto" w:fill="auto"/>
            <w:vAlign w:val="center"/>
          </w:tcPr>
          <w:p>
            <w:pPr>
              <w:spacing w:line="300" w:lineRule="exact"/>
              <w:jc w:val="center"/>
              <w:rPr>
                <w:rFonts w:ascii="黑体" w:hAnsi="黑体" w:eastAsia="黑体"/>
              </w:rPr>
            </w:pPr>
            <w:r>
              <w:rPr>
                <w:rFonts w:hint="eastAsia" w:ascii="黑体" w:hAnsi="黑体" w:eastAsia="黑体"/>
              </w:rPr>
              <w:t>牵头部门</w:t>
            </w:r>
          </w:p>
        </w:tc>
        <w:tc>
          <w:tcPr>
            <w:tcW w:w="2235" w:type="dxa"/>
            <w:shd w:val="clear" w:color="auto" w:fill="auto"/>
            <w:vAlign w:val="center"/>
          </w:tcPr>
          <w:p>
            <w:pPr>
              <w:spacing w:line="300" w:lineRule="exact"/>
              <w:jc w:val="center"/>
              <w:rPr>
                <w:rFonts w:ascii="黑体" w:hAnsi="黑体" w:eastAsia="黑体"/>
              </w:rPr>
            </w:pPr>
            <w:r>
              <w:rPr>
                <w:rFonts w:hint="eastAsia" w:ascii="黑体" w:hAnsi="黑体" w:eastAsia="黑体"/>
              </w:rPr>
              <w:t>参加部门</w:t>
            </w:r>
          </w:p>
        </w:tc>
        <w:tc>
          <w:tcPr>
            <w:tcW w:w="7603" w:type="dxa"/>
            <w:shd w:val="clear" w:color="auto" w:fill="auto"/>
            <w:vAlign w:val="center"/>
          </w:tcPr>
          <w:p>
            <w:pPr>
              <w:spacing w:line="300" w:lineRule="exact"/>
              <w:jc w:val="center"/>
              <w:rPr>
                <w:rFonts w:ascii="黑体" w:hAnsi="黑体" w:eastAsia="黑体"/>
              </w:rPr>
            </w:pPr>
            <w:r>
              <w:rPr>
                <w:rFonts w:hint="eastAsia" w:ascii="黑体" w:hAnsi="黑体" w:eastAsia="黑体"/>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9" w:hRule="atLeast"/>
        </w:trPr>
        <w:tc>
          <w:tcPr>
            <w:tcW w:w="721" w:type="dxa"/>
            <w:shd w:val="clear" w:color="auto" w:fill="auto"/>
            <w:vAlign w:val="center"/>
          </w:tcPr>
          <w:p>
            <w:pPr>
              <w:spacing w:line="300" w:lineRule="exact"/>
              <w:jc w:val="center"/>
            </w:pPr>
            <w:r>
              <w:rPr>
                <w:rFonts w:hint="eastAsia"/>
              </w:rPr>
              <w:t>1</w:t>
            </w:r>
          </w:p>
        </w:tc>
        <w:tc>
          <w:tcPr>
            <w:tcW w:w="1755" w:type="dxa"/>
            <w:shd w:val="clear" w:color="auto" w:fill="auto"/>
            <w:vAlign w:val="center"/>
          </w:tcPr>
          <w:p>
            <w:pPr>
              <w:spacing w:line="300" w:lineRule="exact"/>
              <w:jc w:val="center"/>
            </w:pPr>
            <w:r>
              <w:rPr>
                <w:rFonts w:hint="eastAsia"/>
              </w:rPr>
              <w:t>综合协调组</w:t>
            </w:r>
          </w:p>
        </w:tc>
        <w:tc>
          <w:tcPr>
            <w:tcW w:w="1515" w:type="dxa"/>
            <w:shd w:val="clear" w:color="auto" w:fill="auto"/>
            <w:vAlign w:val="center"/>
          </w:tcPr>
          <w:p>
            <w:pPr>
              <w:spacing w:line="300" w:lineRule="exact"/>
              <w:jc w:val="center"/>
            </w:pPr>
            <w:r>
              <w:rPr>
                <w:rFonts w:hint="eastAsia"/>
              </w:rPr>
              <w:t>市政府办公室</w:t>
            </w:r>
          </w:p>
        </w:tc>
        <w:tc>
          <w:tcPr>
            <w:tcW w:w="2235" w:type="dxa"/>
            <w:shd w:val="clear" w:color="auto" w:fill="auto"/>
            <w:vAlign w:val="center"/>
          </w:tcPr>
          <w:p>
            <w:pPr>
              <w:spacing w:line="300" w:lineRule="exact"/>
            </w:pPr>
            <w:r>
              <w:rPr>
                <w:rFonts w:hint="eastAsia"/>
              </w:rPr>
              <w:t>市应急管理局、赤峰军分区、赤峰市统计局等</w:t>
            </w:r>
          </w:p>
        </w:tc>
        <w:tc>
          <w:tcPr>
            <w:tcW w:w="7603" w:type="dxa"/>
            <w:shd w:val="clear" w:color="auto" w:fill="auto"/>
            <w:vAlign w:val="center"/>
          </w:tcPr>
          <w:p>
            <w:pPr>
              <w:spacing w:line="300" w:lineRule="exact"/>
            </w:pPr>
            <w:r>
              <w:rPr>
                <w:rFonts w:hint="eastAsia"/>
              </w:rPr>
              <w:t>承担赤峰市抗震救灾指挥部文秘工作；负责抗震救灾的综合协调工作；承担抗震救灾工作的信息收集、数据统计、灾情发布等事宜。</w:t>
            </w:r>
          </w:p>
          <w:p>
            <w:pPr>
              <w:spacing w:line="300" w:lineRule="exact"/>
            </w:pPr>
            <w:r>
              <w:rPr>
                <w:rFonts w:hint="eastAsia"/>
              </w:rPr>
              <w:t>市应急管理局负责赤峰市各有关部门、单位间，灾区人民政府间，灾区和非灾区人民政府间的协调工作；负责灾害信息收集、统计、分析处理和报送工作；搜集汇总震情、灾情、社情、民情，负责抗震救灾工作数据的收集统计等工作；评估救灾需求，提出应急处置对策建议；承办赤峰市抗震救灾指挥部各类会议、活动。</w:t>
            </w:r>
          </w:p>
          <w:p>
            <w:pPr>
              <w:spacing w:line="300" w:lineRule="exact"/>
            </w:pPr>
            <w:r>
              <w:rPr>
                <w:rFonts w:hint="eastAsia"/>
              </w:rPr>
              <w:t>赤峰军分区负责赤峰市人民政府与当地驻军、武警赤峰支队，以及来自市外对灾区进行救灾支援军事力量之间的协调工作。</w:t>
            </w:r>
          </w:p>
          <w:p>
            <w:pPr>
              <w:spacing w:line="300" w:lineRule="exact"/>
            </w:pPr>
            <w:r>
              <w:rPr>
                <w:rFonts w:hint="eastAsia"/>
              </w:rPr>
              <w:t>市统计局负责收集、汇总、统计灾区人口、经济、交通等基础数据，及时报送市应急管理局，以便赤峰市人民政府和市抗震救灾指挥部了解、掌握灾区基本情况。</w:t>
            </w:r>
          </w:p>
          <w:p>
            <w:pPr>
              <w:spacing w:line="300" w:lineRule="exact"/>
            </w:pPr>
            <w:r>
              <w:rPr>
                <w:rFonts w:hint="eastAsia"/>
              </w:rPr>
              <w:t xml:space="preserve">赤峰市各有关部门、单位按照本预案规定的职责和分工，分别负责地震应急处置任务的协调工作，对口协调前来我市进行支援的市外、境外抢险救援力量；及时收集、汇总本行业灾情信息，查明救灾需求，并及时报送市应急管理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721" w:type="dxa"/>
            <w:shd w:val="clear" w:color="auto" w:fill="auto"/>
            <w:vAlign w:val="center"/>
          </w:tcPr>
          <w:p>
            <w:pPr>
              <w:spacing w:line="300" w:lineRule="exact"/>
              <w:jc w:val="center"/>
            </w:pPr>
            <w:r>
              <w:rPr>
                <w:rFonts w:hint="eastAsia"/>
              </w:rPr>
              <w:t>2</w:t>
            </w:r>
          </w:p>
        </w:tc>
        <w:tc>
          <w:tcPr>
            <w:tcW w:w="1755" w:type="dxa"/>
            <w:shd w:val="clear" w:color="auto" w:fill="auto"/>
            <w:vAlign w:val="center"/>
          </w:tcPr>
          <w:p>
            <w:pPr>
              <w:spacing w:line="300" w:lineRule="exact"/>
              <w:jc w:val="center"/>
            </w:pPr>
            <w:r>
              <w:rPr>
                <w:rFonts w:hint="eastAsia"/>
              </w:rPr>
              <w:t>地震监测及趋势</w:t>
            </w:r>
          </w:p>
          <w:p>
            <w:pPr>
              <w:spacing w:line="300" w:lineRule="exact"/>
              <w:jc w:val="center"/>
            </w:pPr>
            <w:r>
              <w:rPr>
                <w:rFonts w:hint="eastAsia"/>
              </w:rPr>
              <w:t>研判组</w:t>
            </w:r>
          </w:p>
        </w:tc>
        <w:tc>
          <w:tcPr>
            <w:tcW w:w="1515" w:type="dxa"/>
            <w:shd w:val="clear" w:color="auto" w:fill="auto"/>
            <w:vAlign w:val="center"/>
          </w:tcPr>
          <w:p>
            <w:pPr>
              <w:spacing w:line="300" w:lineRule="exact"/>
              <w:jc w:val="center"/>
            </w:pPr>
            <w:r>
              <w:rPr>
                <w:rFonts w:hint="eastAsia"/>
              </w:rPr>
              <w:t>市应急管理局</w:t>
            </w:r>
          </w:p>
        </w:tc>
        <w:tc>
          <w:tcPr>
            <w:tcW w:w="2235" w:type="dxa"/>
            <w:shd w:val="clear" w:color="auto" w:fill="auto"/>
            <w:vAlign w:val="center"/>
          </w:tcPr>
          <w:p>
            <w:pPr>
              <w:spacing w:line="300" w:lineRule="exact"/>
            </w:pPr>
            <w:r>
              <w:rPr>
                <w:rFonts w:hint="eastAsia"/>
              </w:rPr>
              <w:t>市防灾救灾中心、赤峰中心地震台。必要时邀请自治区地震局、外省（市）有关地震预报专家参加</w:t>
            </w:r>
          </w:p>
        </w:tc>
        <w:tc>
          <w:tcPr>
            <w:tcW w:w="7603" w:type="dxa"/>
            <w:shd w:val="clear" w:color="auto" w:fill="auto"/>
            <w:vAlign w:val="center"/>
          </w:tcPr>
          <w:p>
            <w:pPr>
              <w:spacing w:line="300" w:lineRule="exact"/>
            </w:pPr>
            <w:r>
              <w:rPr>
                <w:rFonts w:hint="eastAsia"/>
              </w:rPr>
              <w:t>参与中国地震局、自治区地震局地震现场工作队等辅助工作；派出地震应急现场工作队，密切监视震情发展，组织震情会商，分析研判地震趋势及震害规模。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trPr>
        <w:tc>
          <w:tcPr>
            <w:tcW w:w="721" w:type="dxa"/>
            <w:shd w:val="clear" w:color="auto" w:fill="auto"/>
            <w:vAlign w:val="center"/>
          </w:tcPr>
          <w:p>
            <w:pPr>
              <w:spacing w:line="300" w:lineRule="exact"/>
              <w:jc w:val="center"/>
            </w:pPr>
            <w:r>
              <w:rPr>
                <w:rFonts w:hint="eastAsia"/>
              </w:rPr>
              <w:t>3</w:t>
            </w:r>
          </w:p>
        </w:tc>
        <w:tc>
          <w:tcPr>
            <w:tcW w:w="1755" w:type="dxa"/>
            <w:shd w:val="clear" w:color="auto" w:fill="auto"/>
            <w:vAlign w:val="center"/>
          </w:tcPr>
          <w:p>
            <w:pPr>
              <w:spacing w:line="300" w:lineRule="exact"/>
              <w:jc w:val="center"/>
            </w:pPr>
            <w:r>
              <w:rPr>
                <w:rFonts w:hint="eastAsia"/>
              </w:rPr>
              <w:t>抢险救援组</w:t>
            </w:r>
          </w:p>
        </w:tc>
        <w:tc>
          <w:tcPr>
            <w:tcW w:w="1515" w:type="dxa"/>
            <w:shd w:val="clear" w:color="auto" w:fill="auto"/>
            <w:vAlign w:val="center"/>
          </w:tcPr>
          <w:p>
            <w:pPr>
              <w:spacing w:line="300" w:lineRule="exact"/>
              <w:jc w:val="center"/>
            </w:pPr>
            <w:r>
              <w:rPr>
                <w:rFonts w:hint="eastAsia"/>
              </w:rPr>
              <w:t>市应急管理局和赤峰军分区</w:t>
            </w:r>
          </w:p>
        </w:tc>
        <w:tc>
          <w:tcPr>
            <w:tcW w:w="2235" w:type="dxa"/>
            <w:shd w:val="clear" w:color="auto" w:fill="auto"/>
            <w:vAlign w:val="center"/>
          </w:tcPr>
          <w:p>
            <w:pPr>
              <w:spacing w:line="300" w:lineRule="exact"/>
            </w:pPr>
            <w:r>
              <w:rPr>
                <w:rFonts w:hint="eastAsia"/>
              </w:rPr>
              <w:t>市自然资源局、民政局、卫生健康委员会、共青团赤峰市委员会、公安局、水利局、人民防空办公室、武警赤峰支队、消防救援支队、森林消防支队、65655部队等</w:t>
            </w:r>
          </w:p>
        </w:tc>
        <w:tc>
          <w:tcPr>
            <w:tcW w:w="7603" w:type="dxa"/>
            <w:shd w:val="clear" w:color="auto" w:fill="auto"/>
            <w:vAlign w:val="center"/>
          </w:tcPr>
          <w:p>
            <w:pPr>
              <w:spacing w:line="300" w:lineRule="exact"/>
            </w:pPr>
            <w:r>
              <w:rPr>
                <w:rFonts w:hint="eastAsia"/>
              </w:rPr>
              <w:t>负责制定实施抢险救灾力量配置方案，提出抢险救援力量使用建议；调配救援队伍和装备，迅速搜救被困群众和受伤人员；根据灾情和需求，协调调度应急救援队伍、救灾物资等资源；协调做好应急救援力量的后勤保障工作；清理灾区现场。</w:t>
            </w:r>
          </w:p>
          <w:p>
            <w:pPr>
              <w:spacing w:line="300" w:lineRule="exact"/>
            </w:pPr>
            <w:r>
              <w:rPr>
                <w:rFonts w:hint="eastAsia"/>
              </w:rPr>
              <w:t>共青团赤峰市委员会指导社会救援力量有序参与抢险救灾；市公安局、应急管理局、自然资源局、卫生健康委员会、水利局、人防办等部门组织抢险救援队伍，负责针对各类次生衍生自然灾害进行抢险处置工作。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21" w:type="dxa"/>
            <w:shd w:val="clear" w:color="auto" w:fill="auto"/>
            <w:vAlign w:val="center"/>
          </w:tcPr>
          <w:p>
            <w:pPr>
              <w:spacing w:line="300" w:lineRule="exact"/>
              <w:jc w:val="center"/>
            </w:pPr>
            <w:r>
              <w:rPr>
                <w:rFonts w:hint="eastAsia"/>
              </w:rPr>
              <w:t>4</w:t>
            </w:r>
          </w:p>
        </w:tc>
        <w:tc>
          <w:tcPr>
            <w:tcW w:w="1755" w:type="dxa"/>
            <w:shd w:val="clear" w:color="auto" w:fill="auto"/>
            <w:vAlign w:val="center"/>
          </w:tcPr>
          <w:p>
            <w:pPr>
              <w:spacing w:line="300" w:lineRule="exact"/>
              <w:jc w:val="center"/>
            </w:pPr>
            <w:r>
              <w:rPr>
                <w:rFonts w:hint="eastAsia"/>
              </w:rPr>
              <w:t>基础设施保障组</w:t>
            </w:r>
          </w:p>
        </w:tc>
        <w:tc>
          <w:tcPr>
            <w:tcW w:w="1515" w:type="dxa"/>
            <w:shd w:val="clear" w:color="auto" w:fill="auto"/>
            <w:vAlign w:val="center"/>
          </w:tcPr>
          <w:p>
            <w:pPr>
              <w:spacing w:line="300" w:lineRule="exact"/>
              <w:jc w:val="center"/>
            </w:pPr>
            <w:r>
              <w:rPr>
                <w:rFonts w:hint="eastAsia"/>
              </w:rPr>
              <w:t>市发展和改革</w:t>
            </w:r>
          </w:p>
          <w:p>
            <w:pPr>
              <w:spacing w:line="300" w:lineRule="exact"/>
              <w:jc w:val="center"/>
            </w:pPr>
            <w:r>
              <w:rPr>
                <w:rFonts w:hint="eastAsia"/>
              </w:rPr>
              <w:t>委员会</w:t>
            </w:r>
          </w:p>
        </w:tc>
        <w:tc>
          <w:tcPr>
            <w:tcW w:w="2235" w:type="dxa"/>
            <w:shd w:val="clear" w:color="auto" w:fill="auto"/>
            <w:vAlign w:val="center"/>
          </w:tcPr>
          <w:p>
            <w:pPr>
              <w:spacing w:line="300" w:lineRule="exact"/>
            </w:pPr>
            <w:r>
              <w:rPr>
                <w:rFonts w:hint="eastAsia"/>
              </w:rPr>
              <w:t>市交通运输局、住房和城乡建设局，公安局、工业和信息化局、自然资源局、水利局、国家电网赤峰供电公司、中国铁路沈阳局集团有限公司赤峰车务段、内蒙古赤峰民航机场有限责任公司等</w:t>
            </w:r>
          </w:p>
        </w:tc>
        <w:tc>
          <w:tcPr>
            <w:tcW w:w="7603" w:type="dxa"/>
            <w:shd w:val="clear" w:color="auto" w:fill="auto"/>
            <w:vAlign w:val="center"/>
          </w:tcPr>
          <w:p>
            <w:pPr>
              <w:spacing w:line="300" w:lineRule="exact"/>
            </w:pPr>
            <w:r>
              <w:rPr>
                <w:rFonts w:hint="eastAsia"/>
              </w:rPr>
              <w:t>组织指导抢修维护公路、铁路、机场等交通设施和供电、供水、燃气、防洪、广播电视等设施；组织调运抢险救援物资和装备，保障灾区抢险应急物资供应；协调运力优先保障应急抢险救援人员和救灾物资的运输需要。</w:t>
            </w:r>
          </w:p>
          <w:p>
            <w:pPr>
              <w:spacing w:line="300" w:lineRule="exact"/>
            </w:pPr>
            <w:r>
              <w:rPr>
                <w:rFonts w:hint="eastAsia"/>
              </w:rPr>
              <w:t>市交通运输局：负责组织抢险队伍赶赴灾区，组织协调运力，做好应急救援力量赴灾区和撤离时的道路交通保障工作；协助指导开展道路抢通抢修；协调抢险救灾物资、救援装备以及基本生活物资等交通应急通行；做好受灾群众的转运和应急救灾物资的运输工作以及灾区公路抢通保通工作。</w:t>
            </w:r>
          </w:p>
          <w:p>
            <w:pPr>
              <w:spacing w:line="300" w:lineRule="exact"/>
            </w:pPr>
            <w:r>
              <w:rPr>
                <w:rFonts w:hint="eastAsia"/>
              </w:rPr>
              <w:t>内蒙古赤峰民航机场有限责任公司、中国铁路沈阳局集团有限公司赤峰车务段等有关部门、单位负责组织铁路和机场抢险保通工作，对抗震救灾工作必须使用的铁路、机场等交通设施进行抢修和维护；协调运力，优先保证抢险救援队伍、伤员和救灾物资运输需要。</w:t>
            </w:r>
          </w:p>
          <w:p>
            <w:pPr>
              <w:spacing w:line="300" w:lineRule="exact"/>
            </w:pPr>
            <w:r>
              <w:rPr>
                <w:rFonts w:hint="eastAsia"/>
              </w:rPr>
              <w:t>市公安局：负责组织开展灾区交通秩序的维护工作，保障灾区队伍调动、物资调运、伤员运送的运输线路通畅。</w:t>
            </w:r>
          </w:p>
          <w:p>
            <w:pPr>
              <w:spacing w:line="300" w:lineRule="exact"/>
            </w:pPr>
            <w:r>
              <w:rPr>
                <w:rFonts w:hint="eastAsia"/>
              </w:rPr>
              <w:t>市工业和信息化局：负责组织、协调、督促和指导基础电信运营企业抢修受损通信设备设施，保障抢险救灾指挥系统和重要部门的通信畅通；尽快恢复公众通信。</w:t>
            </w:r>
          </w:p>
          <w:p>
            <w:pPr>
              <w:spacing w:line="300" w:lineRule="exact"/>
            </w:pPr>
            <w:r>
              <w:rPr>
                <w:rFonts w:hint="eastAsia"/>
              </w:rPr>
              <w:t>市住房和城乡建设局、水利局、自然资源局、国网赤峰供电公司等有关部门负责组织抢险队伍赶赴灾区，抢修受损设备设施，维护灾区供电、供水、供气、环卫等基础设施，确保各项基础设施正常运转。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0" w:hRule="atLeast"/>
        </w:trPr>
        <w:tc>
          <w:tcPr>
            <w:tcW w:w="721" w:type="dxa"/>
            <w:shd w:val="clear" w:color="auto" w:fill="auto"/>
            <w:vAlign w:val="center"/>
          </w:tcPr>
          <w:p>
            <w:pPr>
              <w:spacing w:line="300" w:lineRule="exact"/>
              <w:jc w:val="center"/>
            </w:pPr>
            <w:r>
              <w:rPr>
                <w:rFonts w:hint="eastAsia"/>
              </w:rPr>
              <w:t>5</w:t>
            </w:r>
          </w:p>
        </w:tc>
        <w:tc>
          <w:tcPr>
            <w:tcW w:w="1755" w:type="dxa"/>
            <w:shd w:val="clear" w:color="auto" w:fill="auto"/>
            <w:vAlign w:val="center"/>
          </w:tcPr>
          <w:p>
            <w:pPr>
              <w:spacing w:line="300" w:lineRule="exact"/>
              <w:jc w:val="center"/>
            </w:pPr>
            <w:r>
              <w:rPr>
                <w:rFonts w:hint="eastAsia"/>
              </w:rPr>
              <w:t>医疗救护和卫生防疫组</w:t>
            </w:r>
          </w:p>
        </w:tc>
        <w:tc>
          <w:tcPr>
            <w:tcW w:w="1515" w:type="dxa"/>
            <w:shd w:val="clear" w:color="auto" w:fill="auto"/>
            <w:vAlign w:val="center"/>
          </w:tcPr>
          <w:p>
            <w:pPr>
              <w:spacing w:line="300" w:lineRule="exact"/>
              <w:jc w:val="center"/>
            </w:pPr>
            <w:r>
              <w:rPr>
                <w:rFonts w:hint="eastAsia"/>
              </w:rPr>
              <w:t>市卫生健康</w:t>
            </w:r>
          </w:p>
          <w:p>
            <w:pPr>
              <w:spacing w:line="300" w:lineRule="exact"/>
              <w:jc w:val="center"/>
            </w:pPr>
            <w:r>
              <w:rPr>
                <w:rFonts w:hint="eastAsia"/>
              </w:rPr>
              <w:t>委员会</w:t>
            </w:r>
          </w:p>
        </w:tc>
        <w:tc>
          <w:tcPr>
            <w:tcW w:w="2235" w:type="dxa"/>
            <w:shd w:val="clear" w:color="auto" w:fill="auto"/>
            <w:vAlign w:val="center"/>
          </w:tcPr>
          <w:p>
            <w:pPr>
              <w:spacing w:line="300" w:lineRule="exact"/>
            </w:pPr>
            <w:r>
              <w:rPr>
                <w:rFonts w:hint="eastAsia"/>
              </w:rPr>
              <w:t>市发展改革委、交通运输局、住房和城乡建设局、市场监督管理局、红十字会等</w:t>
            </w:r>
          </w:p>
        </w:tc>
        <w:tc>
          <w:tcPr>
            <w:tcW w:w="7603" w:type="dxa"/>
            <w:shd w:val="clear" w:color="auto" w:fill="auto"/>
            <w:vAlign w:val="center"/>
          </w:tcPr>
          <w:p>
            <w:pPr>
              <w:spacing w:line="300" w:lineRule="exact"/>
            </w:pPr>
            <w:r>
              <w:rPr>
                <w:rFonts w:hint="eastAsia"/>
              </w:rPr>
              <w:t>负责开展受伤群众的医疗救治工作和灾区卫生防疫工作；组派医疗卫生救援队伍，调集医疗器械、药品等物资，对伤病员进行救治、干预和转移；对灾区水源进行监测消毒、加强食品和饮用水卫生监督；做好重大传染病和突发公共卫生事件预防控制工作；恢复灾区医疗卫生服务能力和秩序。</w:t>
            </w:r>
          </w:p>
          <w:p>
            <w:pPr>
              <w:spacing w:line="300" w:lineRule="exact"/>
            </w:pPr>
            <w:r>
              <w:rPr>
                <w:rFonts w:hint="eastAsia"/>
              </w:rPr>
              <w:t>市卫生健康委员会、市红十字会根据需要组织医学救援队伍和卫生防疫队伍，赶赴灾区对受伤人员进行救治；组织开展和指导灾区的心理援助行动；做好各种疫情的防范和控制工作，严防重大传染病疫情的发生和蔓延；协调市内外有关医疗机构及时接收危重伤员；负责指挥和协调市外、国（境）外医学救援队伍及时开展伤员救治工作。</w:t>
            </w:r>
          </w:p>
          <w:p>
            <w:pPr>
              <w:spacing w:line="300" w:lineRule="exact"/>
            </w:pPr>
            <w:r>
              <w:rPr>
                <w:rFonts w:hint="eastAsia"/>
              </w:rPr>
              <w:t>市发展和改革委员会、市市场监管局、卫生健康委员会及时保障伤员救治、卫生防疫工作所需的药品、耗材等，确保药品和耗材等及时到位。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5" w:hRule="atLeast"/>
        </w:trPr>
        <w:tc>
          <w:tcPr>
            <w:tcW w:w="721" w:type="dxa"/>
            <w:shd w:val="clear" w:color="auto" w:fill="auto"/>
            <w:vAlign w:val="center"/>
          </w:tcPr>
          <w:p>
            <w:pPr>
              <w:spacing w:line="300" w:lineRule="exact"/>
              <w:jc w:val="center"/>
            </w:pPr>
            <w:r>
              <w:rPr>
                <w:rFonts w:hint="eastAsia"/>
              </w:rPr>
              <w:t>6</w:t>
            </w:r>
          </w:p>
        </w:tc>
        <w:tc>
          <w:tcPr>
            <w:tcW w:w="1755" w:type="dxa"/>
            <w:shd w:val="clear" w:color="auto" w:fill="auto"/>
            <w:vAlign w:val="center"/>
          </w:tcPr>
          <w:p>
            <w:pPr>
              <w:spacing w:line="300" w:lineRule="exact"/>
              <w:jc w:val="center"/>
            </w:pPr>
            <w:r>
              <w:rPr>
                <w:rFonts w:hint="eastAsia"/>
              </w:rPr>
              <w:t>社会治安组</w:t>
            </w:r>
          </w:p>
        </w:tc>
        <w:tc>
          <w:tcPr>
            <w:tcW w:w="1515" w:type="dxa"/>
            <w:shd w:val="clear" w:color="auto" w:fill="auto"/>
            <w:vAlign w:val="center"/>
          </w:tcPr>
          <w:p>
            <w:pPr>
              <w:spacing w:line="300" w:lineRule="exact"/>
              <w:jc w:val="center"/>
            </w:pPr>
            <w:r>
              <w:rPr>
                <w:rFonts w:hint="eastAsia"/>
              </w:rPr>
              <w:t>市公安局</w:t>
            </w:r>
          </w:p>
        </w:tc>
        <w:tc>
          <w:tcPr>
            <w:tcW w:w="2235" w:type="dxa"/>
            <w:shd w:val="clear" w:color="auto" w:fill="auto"/>
            <w:vAlign w:val="center"/>
          </w:tcPr>
          <w:p>
            <w:pPr>
              <w:spacing w:line="300" w:lineRule="exact"/>
            </w:pPr>
            <w:r>
              <w:rPr>
                <w:rFonts w:hint="eastAsia"/>
              </w:rPr>
              <w:t>市司法局、武警赤峰支队等</w:t>
            </w:r>
          </w:p>
        </w:tc>
        <w:tc>
          <w:tcPr>
            <w:tcW w:w="7603" w:type="dxa"/>
            <w:shd w:val="clear" w:color="auto" w:fill="auto"/>
            <w:vAlign w:val="center"/>
          </w:tcPr>
          <w:p>
            <w:pPr>
              <w:spacing w:line="300" w:lineRule="exact"/>
            </w:pPr>
            <w:r>
              <w:rPr>
                <w:rFonts w:hint="eastAsia"/>
              </w:rPr>
              <w:t>协助灾区加强治安管理和安全保卫工作，严密防范、严厉打击趁机盗窃、哄抢救灾物资、以赈灾募捐名义诈骗敛财、传播各种谣言、制造社会恐慌等违法犯罪活动，维护社会治安和道路交通秩序；加强对党政机关、金融单位、储备仓库、监狱等要害部门重要场所的安全警戒。做好涉灾矛盾纠纷化解和法律服务工作，切实维护社会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0" w:hRule="atLeast"/>
        </w:trPr>
        <w:tc>
          <w:tcPr>
            <w:tcW w:w="721" w:type="dxa"/>
            <w:shd w:val="clear" w:color="auto" w:fill="auto"/>
            <w:vAlign w:val="center"/>
          </w:tcPr>
          <w:p>
            <w:pPr>
              <w:spacing w:line="300" w:lineRule="exact"/>
              <w:jc w:val="center"/>
            </w:pPr>
            <w:r>
              <w:rPr>
                <w:rFonts w:hint="eastAsia"/>
              </w:rPr>
              <w:t>7</w:t>
            </w:r>
          </w:p>
        </w:tc>
        <w:tc>
          <w:tcPr>
            <w:tcW w:w="1755" w:type="dxa"/>
            <w:shd w:val="clear" w:color="auto" w:fill="auto"/>
            <w:vAlign w:val="center"/>
          </w:tcPr>
          <w:p>
            <w:pPr>
              <w:spacing w:line="300" w:lineRule="exact"/>
            </w:pPr>
            <w:r>
              <w:rPr>
                <w:rFonts w:hint="eastAsia"/>
              </w:rPr>
              <w:t>群众生活保障组</w:t>
            </w:r>
          </w:p>
        </w:tc>
        <w:tc>
          <w:tcPr>
            <w:tcW w:w="1515" w:type="dxa"/>
            <w:shd w:val="clear" w:color="auto" w:fill="auto"/>
            <w:vAlign w:val="center"/>
          </w:tcPr>
          <w:p>
            <w:pPr>
              <w:spacing w:line="300" w:lineRule="exact"/>
            </w:pPr>
            <w:r>
              <w:rPr>
                <w:rFonts w:hint="eastAsia"/>
              </w:rPr>
              <w:t>市应急管理局</w:t>
            </w:r>
          </w:p>
        </w:tc>
        <w:tc>
          <w:tcPr>
            <w:tcW w:w="2235" w:type="dxa"/>
            <w:shd w:val="clear" w:color="auto" w:fill="auto"/>
            <w:vAlign w:val="center"/>
          </w:tcPr>
          <w:p>
            <w:pPr>
              <w:spacing w:line="300" w:lineRule="exact"/>
            </w:pPr>
            <w:r>
              <w:rPr>
                <w:rFonts w:hint="eastAsia"/>
              </w:rPr>
              <w:t>市人民政府办公室、发展和改革委员会、财政局、住房和城乡建设局、应急管理局、市场监督管理局、民政局、交通运输局、教育局、司法局、工业和信息化局、商务局、自然资源局、人民防空办公室、红十字会、民委等</w:t>
            </w:r>
          </w:p>
        </w:tc>
        <w:tc>
          <w:tcPr>
            <w:tcW w:w="7603" w:type="dxa"/>
            <w:shd w:val="clear" w:color="auto" w:fill="auto"/>
            <w:vAlign w:val="center"/>
          </w:tcPr>
          <w:p>
            <w:pPr>
              <w:spacing w:line="300" w:lineRule="exact"/>
            </w:pPr>
            <w:r>
              <w:rPr>
                <w:rFonts w:hint="eastAsia"/>
              </w:rPr>
              <w:t>制定实施受灾群众救助工作方案以及相应的资金物资保障措施，组织调集、转运帐篷和必需品等抗震救灾物资，指导有关地区做好受灾群众的紧急转移和安置工作，组织转移和安置遭受破坏学校的学生，组织进行灾区建筑安全鉴定，支援灾区保障群众基本生活和市场供应，负责抗震救灾款物的监管；负责遇难人员的善后工作；负责国内外捐赠的救灾物资、资金的接收和发放工作。</w:t>
            </w:r>
          </w:p>
          <w:p>
            <w:pPr>
              <w:spacing w:line="300" w:lineRule="exact"/>
            </w:pPr>
            <w:r>
              <w:rPr>
                <w:rFonts w:hint="eastAsia"/>
              </w:rPr>
              <w:t>市民政局、财政局、应急管理局负责制订、公布和实施受灾群众生活救助工作标准和政策，指导受灾地区尽快对受灾人员进行临时（过渡）安置，督促灾区及周边地区及时恢复正常生产生活秩序；指导灾区制定恢复生产方案，开展恢复生产工作和临时（过渡）安置点的教学工作，落实有关扶持资金、物资。</w:t>
            </w:r>
          </w:p>
          <w:p>
            <w:pPr>
              <w:spacing w:line="300" w:lineRule="exact"/>
            </w:pPr>
            <w:r>
              <w:rPr>
                <w:rFonts w:hint="eastAsia"/>
              </w:rPr>
              <w:t>市工业和信息化局、商务局、应急管理局、发展和改革委员会等有关部门根据灾区实际需求，及时协调有关企业组织货源，保障灾区的生活物资供应；指导协调灾区生活必需品市场供应。</w:t>
            </w:r>
          </w:p>
          <w:p>
            <w:pPr>
              <w:spacing w:line="300" w:lineRule="exact"/>
            </w:pPr>
            <w:r>
              <w:rPr>
                <w:rFonts w:hint="eastAsia"/>
              </w:rPr>
              <w:t>市民族事务委员会负责协同处理灾区民族关系，指导民族地区群众安置和维护社会稳定工作。</w:t>
            </w:r>
          </w:p>
          <w:p>
            <w:pPr>
              <w:spacing w:line="300" w:lineRule="exact"/>
            </w:pPr>
            <w:r>
              <w:rPr>
                <w:rFonts w:hint="eastAsia"/>
              </w:rPr>
              <w:t>市自然资源局负责指导当地人民政府做好安置点地质灾害危险性评估。</w:t>
            </w:r>
          </w:p>
          <w:p>
            <w:pPr>
              <w:spacing w:line="300" w:lineRule="exact"/>
            </w:pPr>
            <w:r>
              <w:rPr>
                <w:rFonts w:hint="eastAsia"/>
              </w:rPr>
              <w:t>市住房和城乡建设局负责指导当地人民政府做好临时（过渡）和永久安置点的建设工作。</w:t>
            </w:r>
          </w:p>
          <w:p>
            <w:pPr>
              <w:spacing w:line="300" w:lineRule="exact"/>
            </w:pPr>
            <w:r>
              <w:rPr>
                <w:rFonts w:hint="eastAsia"/>
              </w:rPr>
              <w:t>市住房和城乡建设局、市应急管理局、人防办等有关部门负责及时指导受灾地区疏散、引导受灾群众，启用应急避难场所或设置临时避难场所。</w:t>
            </w:r>
          </w:p>
          <w:p>
            <w:pPr>
              <w:spacing w:line="300" w:lineRule="exact"/>
            </w:pPr>
            <w:r>
              <w:rPr>
                <w:rFonts w:hint="eastAsia"/>
              </w:rPr>
              <w:t>市司法局负责指导灾区监所单位妥善安置或转移被监管人员，组织开展好相关监管执法工作，确保监管场所安全稳定。</w:t>
            </w:r>
          </w:p>
          <w:p>
            <w:pPr>
              <w:spacing w:line="300" w:lineRule="exact"/>
            </w:pPr>
            <w:r>
              <w:rPr>
                <w:rFonts w:hint="eastAsia"/>
              </w:rPr>
              <w:t>市应急管理局、交通运输局、卫生健康委、红十字会负责指导做好受灾群众紧急转移安置、过渡期救助和因灾遇难人员家属抚慰等相关事宜。按照《重大突发事件遇难人员遗体处置工作规程》相关要求，规范地震遇难人员遗体处置及相关善后事宜。</w:t>
            </w:r>
          </w:p>
          <w:p>
            <w:pPr>
              <w:spacing w:line="300" w:lineRule="exact"/>
            </w:pPr>
            <w:r>
              <w:rPr>
                <w:rFonts w:hint="eastAsia"/>
              </w:rPr>
              <w:t>市应急管理局、财政局、发展和改革委员会、政府办公室等有关部门负责接收、下拨中央、自治区救灾款物，下拨、指导发放赤峰市救灾款物；组织接收国内捐赠、国际援助，并按规定安排使用国内外救灾捐赠资金和物资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0" w:hRule="atLeast"/>
        </w:trPr>
        <w:tc>
          <w:tcPr>
            <w:tcW w:w="721" w:type="dxa"/>
            <w:shd w:val="clear" w:color="auto" w:fill="auto"/>
            <w:vAlign w:val="center"/>
          </w:tcPr>
          <w:p>
            <w:pPr>
              <w:spacing w:line="300" w:lineRule="exact"/>
              <w:jc w:val="center"/>
            </w:pPr>
            <w:r>
              <w:rPr>
                <w:rFonts w:hint="eastAsia"/>
              </w:rPr>
              <w:t>8</w:t>
            </w:r>
          </w:p>
        </w:tc>
        <w:tc>
          <w:tcPr>
            <w:tcW w:w="1755" w:type="dxa"/>
            <w:shd w:val="clear" w:color="auto" w:fill="auto"/>
            <w:vAlign w:val="center"/>
          </w:tcPr>
          <w:p>
            <w:pPr>
              <w:spacing w:line="300" w:lineRule="exact"/>
            </w:pPr>
            <w:r>
              <w:rPr>
                <w:rFonts w:hint="eastAsia"/>
              </w:rPr>
              <w:t>灾害监测防治组</w:t>
            </w:r>
          </w:p>
        </w:tc>
        <w:tc>
          <w:tcPr>
            <w:tcW w:w="1515" w:type="dxa"/>
            <w:shd w:val="clear" w:color="auto" w:fill="auto"/>
            <w:vAlign w:val="center"/>
          </w:tcPr>
          <w:p>
            <w:pPr>
              <w:spacing w:line="300" w:lineRule="exact"/>
            </w:pPr>
            <w:r>
              <w:rPr>
                <w:rFonts w:hint="eastAsia"/>
              </w:rPr>
              <w:t>市应急管理局</w:t>
            </w:r>
          </w:p>
        </w:tc>
        <w:tc>
          <w:tcPr>
            <w:tcW w:w="2235" w:type="dxa"/>
            <w:shd w:val="clear" w:color="auto" w:fill="auto"/>
            <w:vAlign w:val="center"/>
          </w:tcPr>
          <w:p>
            <w:pPr>
              <w:spacing w:line="300" w:lineRule="exact"/>
            </w:pPr>
            <w:r>
              <w:rPr>
                <w:rFonts w:hint="eastAsia"/>
              </w:rPr>
              <w:t>市工业和信息化局、财政局、住房和城乡建设局、自然资源局、科学技术局、水利局、生态环境局、防灾救灾中心、气象局、赤峰中心地震台等</w:t>
            </w:r>
          </w:p>
        </w:tc>
        <w:tc>
          <w:tcPr>
            <w:tcW w:w="7603" w:type="dxa"/>
            <w:shd w:val="clear" w:color="auto" w:fill="auto"/>
            <w:vAlign w:val="center"/>
          </w:tcPr>
          <w:p>
            <w:pPr>
              <w:spacing w:line="300" w:lineRule="exact"/>
            </w:pPr>
            <w:r>
              <w:rPr>
                <w:rFonts w:hint="eastAsia"/>
              </w:rPr>
              <w:t>市防灾救灾中心、赤峰中心地震台负责密切监视震情发展趋势，开展震情会商研判，及时通报余震信息，指导有关部门、单位做好余震防范。</w:t>
            </w:r>
          </w:p>
          <w:p>
            <w:pPr>
              <w:spacing w:line="300" w:lineRule="exact"/>
            </w:pPr>
            <w:r>
              <w:rPr>
                <w:rFonts w:hint="eastAsia"/>
              </w:rPr>
              <w:t>市自然资源局负责震后应急测绘工作，及时获取灾区卫星定位导航观测数据。</w:t>
            </w:r>
          </w:p>
          <w:p>
            <w:pPr>
              <w:spacing w:line="300" w:lineRule="exact"/>
            </w:pPr>
            <w:r>
              <w:rPr>
                <w:rFonts w:hint="eastAsia"/>
              </w:rPr>
              <w:t>市气象局组织开展灾区气象监测，及时通报重大气象变化；</w:t>
            </w:r>
          </w:p>
          <w:p>
            <w:pPr>
              <w:spacing w:line="300" w:lineRule="exact"/>
            </w:pPr>
            <w:r>
              <w:rPr>
                <w:rFonts w:hint="eastAsia"/>
              </w:rPr>
              <w:t>市生态环境局负责组织开展灾区的空气、水质、土壤等污染监测和防控工作。</w:t>
            </w:r>
          </w:p>
          <w:p>
            <w:pPr>
              <w:spacing w:line="300" w:lineRule="exact"/>
            </w:pPr>
            <w:r>
              <w:rPr>
                <w:rFonts w:hint="eastAsia"/>
              </w:rPr>
              <w:t>市水利局加强对水库堤坝的检查，对可能发生的严重次生水患进行监测，及时发布预警，对险情组织队伍进行先期抢护。</w:t>
            </w:r>
          </w:p>
          <w:p>
            <w:pPr>
              <w:spacing w:line="300" w:lineRule="exact"/>
            </w:pPr>
            <w:r>
              <w:rPr>
                <w:rFonts w:hint="eastAsia"/>
              </w:rPr>
              <w:t>市住房和城乡建设局负责指导开展城镇房屋和市政基础设施的震后安全性应急评估和抗震加固工作；</w:t>
            </w:r>
          </w:p>
          <w:p>
            <w:pPr>
              <w:spacing w:line="300" w:lineRule="exact"/>
            </w:pPr>
            <w:r>
              <w:rPr>
                <w:rFonts w:hint="eastAsia"/>
              </w:rPr>
              <w:t>市应急管理局、自然资源局指导灾区人民政府做好对重大地质灾害隐患点的监测预警，通报地质灾害隐患发展趋势，对险情组织队伍进行先期处置。</w:t>
            </w:r>
          </w:p>
          <w:p>
            <w:pPr>
              <w:spacing w:line="300" w:lineRule="exact"/>
            </w:pPr>
            <w:r>
              <w:rPr>
                <w:rFonts w:hint="eastAsia"/>
              </w:rPr>
              <w:t>市应急管理局加强对可能造成或产生次生灾害的危化品、核设施、油气管线、易燃易爆和有毒物质等的检查、监测力度，防控严重次生灾害的发生。</w:t>
            </w:r>
          </w:p>
          <w:p>
            <w:pPr>
              <w:spacing w:line="300" w:lineRule="exact"/>
            </w:pPr>
            <w:r>
              <w:rPr>
                <w:rFonts w:hint="eastAsia"/>
              </w:rPr>
              <w:t>市应急管理局、科学技术局负责组织、协调科研专家队伍，对相关灾害、事故的应对处置提供科技支持。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0" w:hRule="atLeast"/>
        </w:trPr>
        <w:tc>
          <w:tcPr>
            <w:tcW w:w="721" w:type="dxa"/>
            <w:shd w:val="clear" w:color="auto" w:fill="auto"/>
            <w:vAlign w:val="center"/>
          </w:tcPr>
          <w:p>
            <w:pPr>
              <w:spacing w:line="300" w:lineRule="exact"/>
              <w:jc w:val="center"/>
            </w:pPr>
            <w:r>
              <w:rPr>
                <w:rFonts w:hint="eastAsia"/>
              </w:rPr>
              <w:t>9</w:t>
            </w:r>
          </w:p>
        </w:tc>
        <w:tc>
          <w:tcPr>
            <w:tcW w:w="1755" w:type="dxa"/>
            <w:shd w:val="clear" w:color="auto" w:fill="auto"/>
            <w:vAlign w:val="center"/>
          </w:tcPr>
          <w:p>
            <w:pPr>
              <w:spacing w:line="300" w:lineRule="exact"/>
            </w:pPr>
            <w:r>
              <w:rPr>
                <w:rFonts w:hint="eastAsia"/>
              </w:rPr>
              <w:t>宣传报道组</w:t>
            </w:r>
          </w:p>
        </w:tc>
        <w:tc>
          <w:tcPr>
            <w:tcW w:w="1515" w:type="dxa"/>
            <w:shd w:val="clear" w:color="auto" w:fill="auto"/>
            <w:vAlign w:val="center"/>
          </w:tcPr>
          <w:p>
            <w:pPr>
              <w:spacing w:line="300" w:lineRule="exact"/>
            </w:pPr>
            <w:r>
              <w:rPr>
                <w:rFonts w:hint="eastAsia"/>
              </w:rPr>
              <w:t>市委宣传部</w:t>
            </w:r>
          </w:p>
        </w:tc>
        <w:tc>
          <w:tcPr>
            <w:tcW w:w="2235" w:type="dxa"/>
            <w:shd w:val="clear" w:color="auto" w:fill="auto"/>
            <w:vAlign w:val="center"/>
          </w:tcPr>
          <w:p>
            <w:pPr>
              <w:spacing w:line="300" w:lineRule="exact"/>
            </w:pPr>
            <w:r>
              <w:rPr>
                <w:rFonts w:hint="eastAsia"/>
              </w:rPr>
              <w:t>市政府办公室、公安局、应急管理局、文化和旅游局、科学技术局、自然资源局、卫生健康委员会、工业和信息化局、市委网信办等</w:t>
            </w:r>
          </w:p>
        </w:tc>
        <w:tc>
          <w:tcPr>
            <w:tcW w:w="7603" w:type="dxa"/>
            <w:shd w:val="clear" w:color="auto" w:fill="auto"/>
            <w:vAlign w:val="center"/>
          </w:tcPr>
          <w:p>
            <w:pPr>
              <w:spacing w:line="300" w:lineRule="exact"/>
            </w:pPr>
            <w:r>
              <w:rPr>
                <w:rFonts w:hint="eastAsia"/>
              </w:rPr>
              <w:t>市委宣传部、市政府办公室、市委网信办，市应急管理局、市公安局等有关部门、单位负责信息发布、舆情收集、新闻报道及境内外记者的管理和服务工作；协调做好灾情和救援行动新闻宣传报道工作；指导开展舆情监测研判，正面引导舆论，加强舆情管控；指导做好现场新闻媒体服务管理工作；指导做好市领导在灾区活动时的新闻报道工作；指导做好现场发布会工作。</w:t>
            </w:r>
          </w:p>
          <w:p>
            <w:pPr>
              <w:spacing w:line="300" w:lineRule="exact"/>
            </w:pPr>
            <w:r>
              <w:rPr>
                <w:rFonts w:hint="eastAsia"/>
              </w:rPr>
              <w:t>市应急管理局和市卫生健康委员会、自然资源局等有关部门、单位负责做好对灾区群众的防震减灾、卫生防疫、地质灾害防范等领域的科普宣传提示工作。</w:t>
            </w:r>
          </w:p>
          <w:p>
            <w:pPr>
              <w:spacing w:line="300" w:lineRule="exact"/>
            </w:pPr>
            <w:r>
              <w:rPr>
                <w:rFonts w:hint="eastAsia"/>
              </w:rPr>
              <w:t>市工业和信息化局负责及时恢复灾区受损的广播电视设施，在有条件的地方建立应急广播站，让灾区群众能够及时了解抗震救灾工作情况和灾后应对及自救互救知识。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8" w:hRule="atLeast"/>
        </w:trPr>
        <w:tc>
          <w:tcPr>
            <w:tcW w:w="721" w:type="dxa"/>
            <w:shd w:val="clear" w:color="auto" w:fill="auto"/>
            <w:vAlign w:val="center"/>
          </w:tcPr>
          <w:p>
            <w:pPr>
              <w:spacing w:line="300" w:lineRule="exact"/>
              <w:jc w:val="center"/>
            </w:pPr>
            <w:r>
              <w:rPr>
                <w:rFonts w:hint="eastAsia"/>
              </w:rPr>
              <w:t>10</w:t>
            </w:r>
          </w:p>
        </w:tc>
        <w:tc>
          <w:tcPr>
            <w:tcW w:w="1755" w:type="dxa"/>
            <w:shd w:val="clear" w:color="auto" w:fill="auto"/>
            <w:vAlign w:val="center"/>
          </w:tcPr>
          <w:p>
            <w:pPr>
              <w:spacing w:line="300" w:lineRule="exact"/>
            </w:pPr>
            <w:r>
              <w:rPr>
                <w:rFonts w:hint="eastAsia"/>
              </w:rPr>
              <w:t>涉外工作组</w:t>
            </w:r>
          </w:p>
        </w:tc>
        <w:tc>
          <w:tcPr>
            <w:tcW w:w="1515" w:type="dxa"/>
            <w:shd w:val="clear" w:color="auto" w:fill="auto"/>
            <w:vAlign w:val="center"/>
          </w:tcPr>
          <w:p>
            <w:pPr>
              <w:spacing w:line="300" w:lineRule="exact"/>
            </w:pPr>
            <w:r>
              <w:rPr>
                <w:rFonts w:hint="eastAsia"/>
              </w:rPr>
              <w:t>市政府办公室</w:t>
            </w:r>
          </w:p>
        </w:tc>
        <w:tc>
          <w:tcPr>
            <w:tcW w:w="2235" w:type="dxa"/>
            <w:shd w:val="clear" w:color="auto" w:fill="auto"/>
            <w:vAlign w:val="center"/>
          </w:tcPr>
          <w:p>
            <w:pPr>
              <w:spacing w:line="300" w:lineRule="exact"/>
            </w:pPr>
            <w:r>
              <w:rPr>
                <w:rFonts w:hint="eastAsia"/>
              </w:rPr>
              <w:t>市应急管理局、文化和旅游局、红十字会和赤峰海关等</w:t>
            </w:r>
          </w:p>
        </w:tc>
        <w:tc>
          <w:tcPr>
            <w:tcW w:w="7603" w:type="dxa"/>
            <w:shd w:val="clear" w:color="auto" w:fill="auto"/>
            <w:vAlign w:val="center"/>
          </w:tcPr>
          <w:p>
            <w:pPr>
              <w:spacing w:line="300" w:lineRule="exact"/>
            </w:pPr>
            <w:r>
              <w:rPr>
                <w:rFonts w:hint="eastAsia"/>
              </w:rPr>
              <w:t>市政府办公室、市文化和旅游局等有关部门、单位负责妥善安置在灾区工作和旅游的国（境）外人员，及时向有关国家和地区的驻华机构通报有关情况。</w:t>
            </w:r>
          </w:p>
          <w:p>
            <w:pPr>
              <w:spacing w:line="300" w:lineRule="exact"/>
            </w:pPr>
            <w:r>
              <w:rPr>
                <w:rFonts w:hint="eastAsia"/>
              </w:rPr>
              <w:t>市应急管理局、市政府办公室和赤峰海关负责国（境）外救援队伍和救灾物资转入手续事宜。</w:t>
            </w:r>
          </w:p>
          <w:p>
            <w:pPr>
              <w:spacing w:line="300" w:lineRule="exact"/>
            </w:pPr>
            <w:r>
              <w:rPr>
                <w:rFonts w:hint="eastAsia"/>
              </w:rPr>
              <w:t>市应急管理局、市政府办公室负责协调国（境）外救援队伍在区内的搜救行动。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6" w:hRule="atLeast"/>
        </w:trPr>
        <w:tc>
          <w:tcPr>
            <w:tcW w:w="721" w:type="dxa"/>
            <w:shd w:val="clear" w:color="auto" w:fill="auto"/>
            <w:vAlign w:val="center"/>
          </w:tcPr>
          <w:p>
            <w:pPr>
              <w:spacing w:line="300" w:lineRule="exact"/>
              <w:jc w:val="center"/>
            </w:pPr>
            <w:r>
              <w:rPr>
                <w:rFonts w:hint="eastAsia"/>
              </w:rPr>
              <w:t>11</w:t>
            </w:r>
          </w:p>
        </w:tc>
        <w:tc>
          <w:tcPr>
            <w:tcW w:w="1755" w:type="dxa"/>
            <w:shd w:val="clear" w:color="auto" w:fill="auto"/>
            <w:vAlign w:val="center"/>
          </w:tcPr>
          <w:p>
            <w:pPr>
              <w:spacing w:line="300" w:lineRule="exact"/>
            </w:pPr>
            <w:r>
              <w:rPr>
                <w:rFonts w:hint="eastAsia"/>
              </w:rPr>
              <w:t>灾害损失评估组</w:t>
            </w:r>
          </w:p>
        </w:tc>
        <w:tc>
          <w:tcPr>
            <w:tcW w:w="1515" w:type="dxa"/>
            <w:shd w:val="clear" w:color="auto" w:fill="auto"/>
            <w:vAlign w:val="center"/>
          </w:tcPr>
          <w:p>
            <w:pPr>
              <w:spacing w:line="300" w:lineRule="exact"/>
            </w:pPr>
            <w:r>
              <w:rPr>
                <w:rFonts w:hint="eastAsia"/>
              </w:rPr>
              <w:t xml:space="preserve">市应急管理局 </w:t>
            </w:r>
          </w:p>
        </w:tc>
        <w:tc>
          <w:tcPr>
            <w:tcW w:w="2235" w:type="dxa"/>
            <w:shd w:val="clear" w:color="auto" w:fill="auto"/>
            <w:vAlign w:val="center"/>
          </w:tcPr>
          <w:p>
            <w:pPr>
              <w:spacing w:line="300" w:lineRule="exact"/>
            </w:pPr>
            <w:r>
              <w:rPr>
                <w:rFonts w:hint="eastAsia"/>
              </w:rPr>
              <w:t>市统计局、财政局、民政局、自然资源局、住房和城乡建设局、工业和信息化局、交通运输局、水利局、农牧局</w:t>
            </w:r>
          </w:p>
        </w:tc>
        <w:tc>
          <w:tcPr>
            <w:tcW w:w="7603" w:type="dxa"/>
            <w:shd w:val="clear" w:color="auto" w:fill="auto"/>
            <w:vAlign w:val="center"/>
          </w:tcPr>
          <w:p>
            <w:pPr>
              <w:spacing w:line="300" w:lineRule="exact"/>
            </w:pPr>
            <w:r>
              <w:rPr>
                <w:rFonts w:hint="eastAsia"/>
              </w:rPr>
              <w:t>负责地震灾害损失的评估工作。</w:t>
            </w:r>
          </w:p>
          <w:p>
            <w:pPr>
              <w:spacing w:line="300" w:lineRule="exact"/>
            </w:pPr>
            <w:r>
              <w:rPr>
                <w:rFonts w:hint="eastAsia"/>
              </w:rPr>
              <w:t>市应急管理局、民政局、自然资源局、住房和城乡建设局、工业和信息化局、交通运输局、水利局、农牧局等部门负责组织、协调灾情调查和灾时跟踪评估，为抢险救灾决策和灾后恢复重建提供信息支持。</w:t>
            </w:r>
          </w:p>
          <w:p>
            <w:pPr>
              <w:spacing w:line="300" w:lineRule="exact"/>
            </w:pPr>
            <w:r>
              <w:rPr>
                <w:rFonts w:hint="eastAsia"/>
              </w:rPr>
              <w:t>市统计局、工业和信息化局、财政局、应急管理局负责对受灾情况进行抽样调查和核实，编制地震烈度图并及时发布，评估地震灾害损失。</w:t>
            </w: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521703"/>
    <w:rsid w:val="24521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2020-06-17T01:25:00Z</dcterms:created>
  <dc:creator>海波</dc:creator>
  <cp:lastModifiedBy>海波</cp:lastModifiedBy>
  <dcterms:modified xsi:type="dcterms:W3CDTF">2020-06-17T01:26:06Z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