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jc w:val="center"/>
        <w:rPr>
          <w:rFonts w:ascii="方正小标宋简体" w:hAnsi="宋体" w:eastAsia="方正小标宋简体"/>
          <w:bCs/>
          <w:spacing w:val="8"/>
          <w:kern w:val="0"/>
          <w:sz w:val="40"/>
          <w:szCs w:val="40"/>
        </w:rPr>
      </w:pPr>
      <w:r>
        <w:rPr>
          <w:rFonts w:hint="eastAsia" w:ascii="方正小标宋简体" w:eastAsia="方正小标宋简体"/>
          <w:kern w:val="0"/>
          <w:sz w:val="40"/>
          <w:szCs w:val="40"/>
        </w:rPr>
        <w:t>赤峰市人民政府办公室关于印发</w:t>
      </w:r>
      <w:r>
        <w:rPr>
          <w:rFonts w:hint="eastAsia" w:ascii="方正小标宋简体" w:hAnsi="宋体" w:eastAsia="方正小标宋简体"/>
          <w:spacing w:val="8"/>
          <w:kern w:val="0"/>
          <w:sz w:val="40"/>
          <w:szCs w:val="40"/>
        </w:rPr>
        <w:t>《</w:t>
      </w:r>
      <w:r>
        <w:rPr>
          <w:rFonts w:hint="eastAsia" w:ascii="方正小标宋简体" w:hAnsi="宋体" w:eastAsia="方正小标宋简体"/>
          <w:bCs/>
          <w:spacing w:val="8"/>
          <w:kern w:val="0"/>
          <w:sz w:val="40"/>
          <w:szCs w:val="40"/>
        </w:rPr>
        <w:t>赤峰市</w:t>
      </w:r>
    </w:p>
    <w:p>
      <w:pPr>
        <w:adjustRightInd w:val="0"/>
        <w:snapToGrid w:val="0"/>
        <w:spacing w:line="520" w:lineRule="exact"/>
        <w:jc w:val="center"/>
        <w:rPr>
          <w:rFonts w:hint="eastAsia" w:ascii="方正小标宋简体" w:hAnsi="宋体" w:eastAsia="方正小标宋简体"/>
          <w:bCs/>
          <w:spacing w:val="8"/>
          <w:kern w:val="0"/>
          <w:sz w:val="40"/>
          <w:szCs w:val="40"/>
        </w:rPr>
      </w:pPr>
      <w:r>
        <w:rPr>
          <w:rFonts w:hint="eastAsia" w:ascii="方正小标宋简体" w:hAnsi="宋体" w:eastAsia="方正小标宋简体"/>
          <w:bCs/>
          <w:spacing w:val="8"/>
          <w:kern w:val="0"/>
          <w:sz w:val="40"/>
          <w:szCs w:val="40"/>
        </w:rPr>
        <w:t>“三线一单”生态环境分区管控</w:t>
      </w:r>
    </w:p>
    <w:p>
      <w:pPr>
        <w:adjustRightInd w:val="0"/>
        <w:snapToGrid w:val="0"/>
        <w:spacing w:line="520" w:lineRule="exact"/>
        <w:jc w:val="center"/>
        <w:rPr>
          <w:rFonts w:hint="eastAsia" w:ascii="方正小标宋简体" w:eastAsia="方正小标宋简体"/>
          <w:kern w:val="0"/>
          <w:sz w:val="40"/>
          <w:szCs w:val="40"/>
        </w:rPr>
      </w:pPr>
      <w:r>
        <w:rPr>
          <w:rFonts w:hint="eastAsia" w:ascii="方正小标宋简体" w:hAnsi="宋体" w:eastAsia="方正小标宋简体"/>
          <w:bCs/>
          <w:spacing w:val="8"/>
          <w:kern w:val="0"/>
          <w:sz w:val="40"/>
          <w:szCs w:val="40"/>
        </w:rPr>
        <w:t>实施方案</w:t>
      </w:r>
      <w:r>
        <w:rPr>
          <w:rFonts w:hint="eastAsia" w:ascii="方正小标宋简体" w:eastAsia="方正小标宋简体"/>
          <w:kern w:val="0"/>
          <w:sz w:val="40"/>
          <w:szCs w:val="40"/>
        </w:rPr>
        <w:t>》的通知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40"/>
        </w:rPr>
      </w:pPr>
    </w:p>
    <w:p>
      <w:pPr>
        <w:spacing w:line="480" w:lineRule="exac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各旗县区人民政府，市直各委办局，各企业、事业单位：</w:t>
      </w:r>
    </w:p>
    <w:p>
      <w:pPr>
        <w:spacing w:line="480" w:lineRule="exact"/>
        <w:ind w:firstLine="600" w:firstLineChars="200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经市政府同意，现将《</w:t>
      </w:r>
      <w:r>
        <w:rPr>
          <w:rFonts w:hint="eastAsia" w:ascii="仿宋_GB2312" w:hAnsi="仿宋" w:eastAsia="仿宋_GB2312" w:cs="宋体"/>
          <w:bCs/>
          <w:color w:val="000000"/>
          <w:kern w:val="0"/>
          <w:sz w:val="30"/>
          <w:szCs w:val="30"/>
        </w:rPr>
        <w:t>赤峰市“三线一单”生态环境分区管控实施方案</w:t>
      </w: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》印发给你们，请结合实际，认真贯彻落实。</w:t>
      </w:r>
    </w:p>
    <w:p>
      <w:pPr>
        <w:spacing w:line="560" w:lineRule="exac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</w:p>
    <w:p>
      <w:pPr>
        <w:spacing w:line="560" w:lineRule="exact"/>
        <w:ind w:firstLine="5400" w:firstLineChars="1800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2021年10月29日</w:t>
      </w:r>
    </w:p>
    <w:p>
      <w:pPr>
        <w:spacing w:line="560" w:lineRule="exac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  <w:t>（此件公开发布）</w:t>
      </w:r>
    </w:p>
    <w:p>
      <w:pPr>
        <w:spacing w:line="560" w:lineRule="exact"/>
        <w:rPr>
          <w:rFonts w:hint="eastAsia" w:ascii="仿宋_GB2312" w:hAnsi="仿宋" w:eastAsia="仿宋_GB2312" w:cs="宋体"/>
          <w:color w:val="000000"/>
          <w:kern w:val="0"/>
          <w:sz w:val="30"/>
          <w:szCs w:val="30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赤峰市“三线一单”生态环境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分区管控实施方案</w:t>
      </w:r>
    </w:p>
    <w:p>
      <w:pPr>
        <w:widowControl/>
        <w:shd w:val="clear" w:color="auto" w:fill="FFFFFF"/>
        <w:spacing w:line="480" w:lineRule="atLeast"/>
        <w:ind w:firstLine="480"/>
        <w:jc w:val="left"/>
        <w:rPr>
          <w:rFonts w:hint="eastAsia" w:ascii="微软雅黑" w:hAnsi="微软雅黑" w:eastAsia="微软雅黑" w:cs="宋体"/>
          <w:color w:val="333333"/>
          <w:kern w:val="0"/>
          <w:sz w:val="27"/>
          <w:szCs w:val="27"/>
        </w:rPr>
      </w:pP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按照《自治区人民政府关于实施“三线一单”生态环境分区管控的意见》（内政发〔2020〕24号）和《</w:t>
      </w:r>
      <w:r>
        <w:rPr>
          <w:rFonts w:hint="eastAsia" w:ascii="仿宋_GB2312" w:eastAsia="仿宋_GB2312"/>
          <w:sz w:val="30"/>
          <w:szCs w:val="30"/>
        </w:rPr>
        <w:t>自治区生态环境厅关于进一步细化完善盟市“三线一单”加快推进应用实施工作的通知》（内环办〔2021〕53号）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要求，为深入践行习近平生态文明思想，坚定不移走生态优先、绿色发展之路，持续推动赤峰市生态文明建设，努力促进经济社会高质量发展，结合赤峰市生态环境特征和地方经济发展实际，就实施“三线一单”（生态保护红线、环境质量底线、资源利用上线和生态环境准入清单）生态环境分区管控，制定本实施方案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黑体" w:hAnsi="黑体" w:eastAsia="黑体" w:cs="宋体"/>
          <w:color w:val="333333"/>
          <w:kern w:val="0"/>
          <w:sz w:val="30"/>
          <w:szCs w:val="30"/>
        </w:rPr>
      </w:pPr>
      <w:r>
        <w:rPr>
          <w:rFonts w:hint="eastAsia" w:ascii="黑体" w:hAnsi="黑体" w:eastAsia="黑体" w:cs="宋体"/>
          <w:bCs/>
          <w:color w:val="333333"/>
          <w:kern w:val="0"/>
          <w:sz w:val="30"/>
          <w:szCs w:val="30"/>
        </w:rPr>
        <w:t>一、总体要求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（一）指导思想。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以习近平新时代中国特色社会主义思想为指导，全面贯彻党的十九大和十九届二中、三中、四中、五中全会精神，坚持生态优先、绿色发展，按照“划框子、定规则、强基础、抓落实”的总体思路，以改善生态环境质量为核心，建立以“三线一单”为核心的生态环境分区管控体系，提升我市生态环境治理体系和治理能力现代化水平，推进生态环境高水平保护和经济社会高质量发展，筑牢我国北方重要生态安全屏障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（二）基本原则。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1.坚持生态优先。牢固树立“绿水青山就是金山银山”的理念，保持加强生态文明建设的战略定力，落实生态保护红线、环境质量底线、资源利用上线硬约束，推动形成绿色发展方式和生活方式。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2.坚持分类管控。根据赤峰市生态环境功能、自然资源禀赋和经济社会发展实际，划定环境管控单元，实施差别化生态环境管控措施，促进生态环境质量持续改善。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3.坚持统筹实施。按照自治区级统筹、上下联动、区域协同的原则，统筹推进落实“三线一单”管控要求；结合我市经济社会发展和生态环境改善的新形势新任务新要求，定期评估、动态更新调整。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（三）主要目标。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2021年，在自治区</w:t>
      </w:r>
      <w:r>
        <w:rPr>
          <w:rFonts w:hint="eastAsia" w:ascii="仿宋_GB2312" w:eastAsia="仿宋_GB2312"/>
          <w:sz w:val="30"/>
          <w:szCs w:val="30"/>
        </w:rPr>
        <w:t>“三线一单”编制成果确定的基本框架和总体要求下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，根据我市实际情况，细化完成</w:t>
      </w:r>
      <w:r>
        <w:rPr>
          <w:rFonts w:hint="eastAsia" w:ascii="仿宋_GB2312" w:hAnsi="仿宋" w:eastAsia="仿宋_GB2312" w:cs="宋体"/>
          <w:sz w:val="30"/>
          <w:szCs w:val="30"/>
        </w:rPr>
        <w:t>赤峰市“三线一单”研究成果，建立以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“三线一单”为核心的生态环境分区管控体系，确保“三线一单”成果得到有效应用。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到2025年，落实生态保护红线、环境质量底线、资源利用上线硬性约束，污染物排放总量和环境质量达到赤峰市生态环境保护“十四五”规划目标要求。将生态文明建设理念融入空间布局、经济发展、产业结构各领域，健全生态环境分区管控体系，生态环境质量持续改善，生态环境治理能力显著提升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到2035年，建成完善的生态环境分区管控体系，全市生态环境质量实现全面改善，基本实现生态环境治理体系和治理能力现代化，推动形成节约资源和保护生态环境的空间格局、产业结构、生产方式、生活方式，筑牢我国北方重要生态安全屏障，保障经济社会高质量发展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黑体" w:hAnsi="黑体" w:eastAsia="黑体" w:cs="宋体"/>
          <w:color w:val="333333"/>
          <w:kern w:val="0"/>
          <w:sz w:val="30"/>
          <w:szCs w:val="30"/>
        </w:rPr>
      </w:pPr>
      <w:r>
        <w:rPr>
          <w:rFonts w:hint="eastAsia" w:ascii="黑体" w:hAnsi="黑体" w:eastAsia="黑体" w:cs="宋体"/>
          <w:bCs/>
          <w:color w:val="333333"/>
          <w:kern w:val="0"/>
          <w:sz w:val="30"/>
          <w:szCs w:val="30"/>
        </w:rPr>
        <w:t>二、构建生态环境分区管控体系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全市共划分生态环境管控单元269个，包括优先保护单元、重点管控单元、一般管控单元三类，实施分类管控。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（一）优先保护单元。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共75个，面积49165.36km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  <w:vertAlign w:val="superscript"/>
        </w:rPr>
        <w:t>2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，占全市国土面积的56.56%。主要包括生态空间、大气环境优先保护区、水环境优先保护区等区域。优先保护单元以生态环境保护优先为原则，依法禁止或限制大规模、高强度的开发建设活动，确保生态环境功能不降低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（二）重点管控单元。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共</w:t>
      </w:r>
      <w:r>
        <w:rPr>
          <w:rFonts w:hint="eastAsia" w:ascii="仿宋_GB2312" w:eastAsia="仿宋_GB2312"/>
          <w:color w:val="000000"/>
          <w:sz w:val="30"/>
          <w:szCs w:val="30"/>
        </w:rPr>
        <w:t>184个，面积12644.08km</w:t>
      </w:r>
      <w:r>
        <w:rPr>
          <w:rFonts w:hint="eastAsia" w:ascii="仿宋_GB2312" w:eastAsia="仿宋_GB2312"/>
          <w:color w:val="000000"/>
          <w:sz w:val="30"/>
          <w:szCs w:val="30"/>
          <w:vertAlign w:val="superscript"/>
        </w:rPr>
        <w:t>2</w:t>
      </w:r>
      <w:r>
        <w:rPr>
          <w:rFonts w:hint="eastAsia" w:ascii="仿宋_GB2312" w:eastAsia="仿宋_GB2312"/>
          <w:color w:val="000000"/>
          <w:sz w:val="30"/>
          <w:szCs w:val="30"/>
        </w:rPr>
        <w:t>，占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全市国土面积的</w:t>
      </w:r>
      <w:r>
        <w:rPr>
          <w:rFonts w:hint="eastAsia" w:ascii="仿宋_GB2312" w:eastAsia="仿宋_GB2312"/>
          <w:color w:val="000000"/>
          <w:sz w:val="30"/>
          <w:szCs w:val="30"/>
        </w:rPr>
        <w:t>14.55%。将水环境重点管控区、大气环境重点管控区、地下水开采重点管控区、生态用水补给区、土地资源管控区等取并集，全部纳入重点管控单元。其中，水环境重点管控区包括工业污染、农业污染重点管控区；大气环境重点管控区包括受体敏感区、高排放区、布局敏感区和弱扩散区；土壤环境重点管控区包括安全利用类、严格管控类农用地，以及建设用地中的土壤环境重点监管企业清单中企业地块、优先管控污染地块名录中地块等；水资源重点管控区包括生态用水补给重点管控区、地下水开采重点管控区；土地资源重点管控区包括市级以上开发区、城镇空间、矿区；能源资源重点管控区为城镇的高污染燃料禁燃区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。</w:t>
      </w:r>
      <w:r>
        <w:rPr>
          <w:rFonts w:hint="eastAsia" w:ascii="仿宋_GB2312" w:eastAsia="仿宋_GB2312"/>
          <w:color w:val="000000"/>
          <w:sz w:val="30"/>
          <w:szCs w:val="30"/>
        </w:rPr>
        <w:t>重点管控单元以产业高质量发展和环境保护协调为主，优化空间布局，加强污染物排放控制和环境风险防控，不断提升资源利用效率。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（三）一般管控单元。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共</w:t>
      </w:r>
      <w:r>
        <w:rPr>
          <w:rFonts w:hint="eastAsia" w:ascii="仿宋_GB2312" w:eastAsia="仿宋_GB2312"/>
          <w:color w:val="000000"/>
          <w:sz w:val="30"/>
          <w:szCs w:val="30"/>
        </w:rPr>
        <w:t>10个，面积25106.68km</w:t>
      </w:r>
      <w:r>
        <w:rPr>
          <w:rFonts w:hint="eastAsia" w:ascii="仿宋_GB2312" w:eastAsia="仿宋_GB2312"/>
          <w:color w:val="000000"/>
          <w:sz w:val="30"/>
          <w:szCs w:val="30"/>
          <w:vertAlign w:val="superscript"/>
        </w:rPr>
        <w:t>2</w:t>
      </w:r>
      <w:r>
        <w:rPr>
          <w:rFonts w:hint="eastAsia" w:ascii="仿宋_GB2312" w:eastAsia="仿宋_GB2312"/>
          <w:color w:val="000000"/>
          <w:sz w:val="30"/>
          <w:szCs w:val="30"/>
        </w:rPr>
        <w:t>，占</w:t>
      </w:r>
      <w:r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  <w:t>全市国土面积的</w:t>
      </w:r>
      <w:r>
        <w:rPr>
          <w:rFonts w:hint="eastAsia" w:ascii="仿宋_GB2312" w:eastAsia="仿宋_GB2312"/>
          <w:color w:val="000000"/>
          <w:sz w:val="30"/>
          <w:szCs w:val="30"/>
        </w:rPr>
        <w:t>28.89%。包括除优先保护单元和重点管控单元之外的其他区域，以赤峰市行政边界确定范围。一般管控单元主要落实生态环境保护的基本要求。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黑体" w:hAnsi="黑体" w:eastAsia="黑体" w:cs="宋体"/>
          <w:bCs/>
          <w:color w:val="333333"/>
          <w:kern w:val="0"/>
          <w:sz w:val="30"/>
          <w:szCs w:val="30"/>
        </w:rPr>
      </w:pPr>
      <w:r>
        <w:rPr>
          <w:rFonts w:hint="eastAsia" w:ascii="黑体" w:hAnsi="黑体" w:eastAsia="黑体" w:cs="宋体"/>
          <w:bCs/>
          <w:color w:val="333333"/>
          <w:kern w:val="0"/>
          <w:sz w:val="30"/>
          <w:szCs w:val="30"/>
        </w:rPr>
        <w:t>三、工作要求</w:t>
      </w:r>
    </w:p>
    <w:p>
      <w:pPr>
        <w:widowControl/>
        <w:shd w:val="clear" w:color="auto" w:fill="FFFFFF"/>
        <w:spacing w:line="560" w:lineRule="exact"/>
        <w:ind w:firstLine="600" w:firstLineChars="200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（一）加强成果落地应用。</w:t>
      </w:r>
      <w:r>
        <w:rPr>
          <w:rFonts w:hint="eastAsia" w:ascii="仿宋_GB2312" w:eastAsia="仿宋_GB2312"/>
          <w:color w:val="000000"/>
          <w:sz w:val="30"/>
          <w:szCs w:val="30"/>
        </w:rPr>
        <w:t>各地区各有关部门要强化“三线一单”生态环境分区管控体系与国土空间规划、区域资源开发、产业布局和结构调整、城镇建设、重大项目选址等方面的有效衔接，在制定相关政策、规划、方案时将生态环境分区管控、生态环境准入要求作为重要依据，加强与“三线一单”的协调性分析。同时，将生态环境分区管控作为推进污染防治、生态保护、环境风险防控等工作的重要依据和生态环境监管的重点内容，在生态、水、大气、土壤、固体废物、环评审批、排污许可等环境管理中，强化“三线一单”成果应用，促进生态环境高水平保护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（二）强化平台对接及数据共享。</w:t>
      </w:r>
      <w:r>
        <w:rPr>
          <w:rFonts w:hint="eastAsia" w:ascii="仿宋_GB2312" w:eastAsia="仿宋_GB2312"/>
          <w:color w:val="000000"/>
          <w:sz w:val="30"/>
          <w:szCs w:val="30"/>
        </w:rPr>
        <w:t>市生态环境局要牵头做好与自治区“三线一单”数据管理应用平台的对接，加强“三线一单”数据应用系统与国土空间基础信息平台、有关部门业务平台的对接，实现编制成果信息化应用和数据共建共享共用。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（三）实行成果动态更新。</w:t>
      </w:r>
      <w:r>
        <w:rPr>
          <w:rFonts w:hint="eastAsia" w:ascii="仿宋_GB2312" w:eastAsia="仿宋_GB2312"/>
          <w:color w:val="000000"/>
          <w:sz w:val="30"/>
          <w:szCs w:val="30"/>
        </w:rPr>
        <w:t>市生态环境局要会同相关部门适时组织开展“三线一单”实施情况评估，依据评估情况编制“三线一单”更新调整方案，报请市政府审议发布。因国家与地方重大发展战略、生态保护红线、自然保护地和生态环境质量目标等变化需调整“三线一单”内容的，应按程序开展实时更新和动态更新。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楷体_GB2312" w:hAnsi="楷体" w:eastAsia="楷体_GB2312" w:cs="宋体"/>
          <w:color w:val="333333"/>
          <w:kern w:val="0"/>
          <w:sz w:val="30"/>
          <w:szCs w:val="30"/>
        </w:rPr>
        <w:t>（四）落实有关保障措施。</w:t>
      </w:r>
      <w:r>
        <w:rPr>
          <w:rFonts w:hint="eastAsia" w:ascii="仿宋_GB2312" w:eastAsia="仿宋_GB2312"/>
          <w:color w:val="000000"/>
          <w:sz w:val="30"/>
          <w:szCs w:val="30"/>
        </w:rPr>
        <w:t>建立健全“三线一单”实施、评估、调整更新的工作机制。市生态环境局要组建长期稳定的专业技术团队，统筹做好全市“三线一单”成果的实施、评估、更新调整和宣传等工作。市财政局要安排专项资金，切实保障“三线一单”成果的实施、评估、更新调整、数据应用和维护等。各旗县区政府、市直相关部门、高新区管委会要认真履职尽责，积极配合，切实抓好全市“三线一单”成果的贯彻落实。</w:t>
      </w:r>
    </w:p>
    <w:p>
      <w:pPr>
        <w:widowControl/>
        <w:shd w:val="clear" w:color="auto" w:fill="FFFFFF"/>
        <w:spacing w:line="560" w:lineRule="exact"/>
        <w:ind w:firstLine="480"/>
        <w:jc w:val="left"/>
        <w:rPr>
          <w:rFonts w:hint="eastAsia" w:ascii="仿宋_GB2312" w:hAnsi="微软雅黑" w:eastAsia="仿宋_GB2312" w:cs="宋体"/>
          <w:color w:val="333333"/>
          <w:kern w:val="0"/>
          <w:sz w:val="30"/>
          <w:szCs w:val="30"/>
        </w:rPr>
      </w:pP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eastAsia="仿宋_GB2312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附件：1.赤峰市生态环境管控单元图</w:t>
      </w:r>
    </w:p>
    <w:p>
      <w:pPr>
        <w:widowControl/>
        <w:shd w:val="clear" w:color="auto" w:fill="FFFFFF"/>
        <w:spacing w:line="560" w:lineRule="exact"/>
        <w:ind w:firstLine="709"/>
        <w:jc w:val="left"/>
        <w:rPr>
          <w:rFonts w:hint="eastAsia" w:ascii="仿宋_GB2312" w:eastAsia="仿宋_GB2312"/>
          <w:color w:val="000000"/>
          <w:w w:val="95"/>
          <w:sz w:val="30"/>
          <w:szCs w:val="30"/>
        </w:rPr>
      </w:pPr>
      <w:r>
        <w:rPr>
          <w:rFonts w:hint="eastAsia" w:ascii="仿宋_GB2312" w:eastAsia="仿宋_GB2312"/>
          <w:color w:val="000000"/>
          <w:sz w:val="30"/>
          <w:szCs w:val="30"/>
        </w:rPr>
        <w:t>  </w:t>
      </w:r>
      <w:r>
        <w:rPr>
          <w:rFonts w:hint="eastAsia" w:ascii="仿宋_GB2312" w:eastAsia="仿宋_GB2312"/>
          <w:color w:val="000000"/>
          <w:sz w:val="30"/>
          <w:szCs w:val="30"/>
          <w:lang w:val="en-US" w:eastAsia="zh-CN"/>
        </w:rPr>
        <w:t xml:space="preserve">   </w:t>
      </w:r>
      <w:bookmarkStart w:id="1" w:name="_GoBack"/>
      <w:bookmarkEnd w:id="1"/>
      <w:r>
        <w:rPr>
          <w:rFonts w:hint="eastAsia" w:ascii="仿宋_GB2312" w:eastAsia="仿宋_GB2312"/>
          <w:color w:val="000000"/>
          <w:sz w:val="30"/>
          <w:szCs w:val="30"/>
        </w:rPr>
        <w:t> </w:t>
      </w:r>
      <w:r>
        <w:rPr>
          <w:rFonts w:hint="eastAsia" w:ascii="仿宋_GB2312" w:eastAsia="仿宋_GB2312"/>
          <w:color w:val="000000"/>
          <w:w w:val="95"/>
          <w:sz w:val="30"/>
          <w:szCs w:val="30"/>
        </w:rPr>
        <w:t>2.赤峰市各旗县区生态环境管控单元分类统计表</w:t>
      </w:r>
    </w:p>
    <w:p>
      <w:pPr>
        <w:rPr>
          <w:rFonts w:hint="eastAsia" w:ascii="仿宋_GB2312" w:eastAsia="仿宋_GB2312"/>
          <w:sz w:val="30"/>
          <w:szCs w:val="30"/>
        </w:rPr>
      </w:pPr>
    </w:p>
    <w:p>
      <w:pPr>
        <w:ind w:firstLine="640" w:firstLineChars="200"/>
        <w:rPr>
          <w:rFonts w:hint="eastAsia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 w:eastAsia="仿宋_GB2312"/>
          <w:sz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hint="eastAsia" w:ascii="仿宋_GB2312" w:eastAsia="仿宋_GB2312"/>
          <w:sz w:val="32"/>
        </w:rPr>
      </w:pPr>
    </w:p>
    <w:p>
      <w:pPr>
        <w:ind w:firstLine="600"/>
        <w:rPr>
          <w:rFonts w:hint="eastAsia" w:eastAsia="仿宋_GB2312"/>
          <w:sz w:val="32"/>
        </w:rPr>
      </w:pPr>
    </w:p>
    <w:p>
      <w:pPr>
        <w:ind w:firstLine="600"/>
        <w:rPr>
          <w:rFonts w:eastAsia="仿宋_GB2312"/>
          <w:sz w:val="32"/>
        </w:rPr>
      </w:pPr>
    </w:p>
    <w:p>
      <w:pPr>
        <w:ind w:firstLine="600"/>
        <w:rPr>
          <w:rFonts w:eastAsia="仿宋_GB2312"/>
          <w:sz w:val="32"/>
        </w:rPr>
      </w:pPr>
    </w:p>
    <w:p>
      <w:pPr>
        <w:ind w:firstLine="600"/>
        <w:rPr>
          <w:rFonts w:eastAsia="仿宋_GB2312"/>
          <w:sz w:val="32"/>
        </w:rPr>
      </w:pPr>
    </w:p>
    <w:p>
      <w:pPr>
        <w:ind w:firstLine="600"/>
        <w:rPr>
          <w:rFonts w:eastAsia="仿宋_GB2312"/>
          <w:sz w:val="32"/>
        </w:rPr>
      </w:pPr>
    </w:p>
    <w:p>
      <w:pPr>
        <w:rPr>
          <w:u w:val="single"/>
          <w:lang w:bidi="ar"/>
        </w:rPr>
      </w:pPr>
    </w:p>
    <w:p>
      <w:pPr>
        <w:ind w:firstLine="315" w:firstLineChars="150"/>
        <w:rPr>
          <w:u w:val="single"/>
          <w:lang w:bidi="ar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19050</wp:posOffset>
                </wp:positionV>
                <wp:extent cx="5657850" cy="635"/>
                <wp:effectExtent l="0" t="0" r="19050" b="3746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1.5pt;height:0.05pt;width:445.5pt;z-index:251659264;mso-width-relative:page;mso-height-relative:page;" filled="f" stroked="t" coordsize="21600,21600" o:gfxdata="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ZeqY7UAAAABQEAAA8AAAAAAAAAAQAgAAAAIgAAAGRycy9kb3ducmV2LnhtbFBLAQIU&#10;ABQAAAAIAIdO4kAiMLJ29wEAAMADAAAOAAAAAAAAAAEAIAAAACM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  <w:lang w:bidi="ar"/>
        </w:rPr>
        <w:t>抄送：市委办公室、人大常委会办公室、政协办公室。</w:t>
      </w:r>
    </w:p>
    <w:p>
      <w:pPr>
        <w:ind w:firstLine="315" w:firstLineChars="150"/>
        <w:rPr>
          <w:lang w:bidi="ar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13335</wp:posOffset>
                </wp:positionV>
                <wp:extent cx="5657850" cy="635"/>
                <wp:effectExtent l="0" t="0" r="19050" b="374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1.05pt;height:0.05pt;width:445.5pt;z-index:251659264;mso-width-relative:page;mso-height-relative:page;" filled="f" stroked="t" coordsize="21600,21600" o:gfxdata="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xCB2EtMAAAAFAQAADwAAAAAAAAABACAAAAAiAAAAZHJzL2Rvd25yZXYueG1sUEsBAhQA&#10;FAAAAAgAh07iQPod2lL3AQAAwAMAAA4AAAAAAAAAAQAgAAAAI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384810</wp:posOffset>
                </wp:positionV>
                <wp:extent cx="5657850" cy="635"/>
                <wp:effectExtent l="0" t="0" r="19050" b="37465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7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05pt;margin-top:30.3pt;height:0.05pt;width:445.5pt;z-index:251659264;mso-width-relative:page;mso-height-relative:page;" filled="f" stroked="t" coordsize="21600,21600" o:gfxdata="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Uy/RzVAAAABwEAAA8AAAAAAAAAAQAgAAAAIgAAAGRycy9kb3ducmV2LnhtbFBLAQIU&#10;ABQAAAAIAIdO4kCSa2I+9gEAAMADAAAOAAAAAAAAAAEAIAAAACQ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  <w:lang w:bidi="ar"/>
        </w:rPr>
        <w:t xml:space="preserve">赤峰市人民政府办公室秘书二科           </w:t>
      </w:r>
      <w:bookmarkStart w:id="0" w:name="来文成文日期"/>
      <w:bookmarkEnd w:id="0"/>
      <w:r>
        <w:rPr>
          <w:rFonts w:hint="eastAsia" w:ascii="仿宋_GB2312" w:eastAsia="仿宋_GB2312"/>
          <w:sz w:val="28"/>
          <w:szCs w:val="28"/>
          <w:lang w:bidi="ar"/>
        </w:rPr>
        <w:t>2021年10月29日印发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57C"/>
    <w:rsid w:val="000B6D7F"/>
    <w:rsid w:val="007B15B6"/>
    <w:rsid w:val="00D9257C"/>
    <w:rsid w:val="45E1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409</Words>
  <Characters>2332</Characters>
  <Lines>19</Lines>
  <Paragraphs>5</Paragraphs>
  <TotalTime>7</TotalTime>
  <ScaleCrop>false</ScaleCrop>
  <LinksUpToDate>false</LinksUpToDate>
  <CharactersWithSpaces>2736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2021-11-03T02:16:00Z</dcterms:created>
  <dc:creator>孔春磊(孔春磊:分发)</dc:creator>
  <cp:lastModifiedBy>admin</cp:lastModifiedBy>
  <dcterms:modified xsi:type="dcterms:W3CDTF">2021-11-16T01:32:34Z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1732C6D6772A40C981CC5887AF7C31DB</vt:lpwstr>
  </property>
</Properties>
</file>