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0C4F7">
      <w:pPr>
        <w:spacing w:line="560" w:lineRule="exact"/>
        <w:jc w:val="center"/>
        <w:rPr>
          <w:rFonts w:ascii="方正小标宋简体" w:hAnsi="方正小标宋简体"/>
          <w:b/>
          <w:bCs/>
          <w:sz w:val="44"/>
          <w:szCs w:val="44"/>
        </w:rPr>
      </w:pPr>
      <w:bookmarkStart w:id="0" w:name="_Hlk107560609"/>
      <w:r>
        <w:rPr>
          <w:rFonts w:ascii="方正小标宋简体" w:hAnsi="方正小标宋简体"/>
          <w:b/>
          <w:bCs/>
          <w:sz w:val="44"/>
          <w:szCs w:val="44"/>
        </w:rPr>
        <w:t>赤峰</w:t>
      </w:r>
      <w:bookmarkStart w:id="3" w:name="_GoBack"/>
      <w:bookmarkEnd w:id="3"/>
      <w:r>
        <w:rPr>
          <w:rFonts w:ascii="方正小标宋简体" w:hAnsi="方正小标宋简体"/>
          <w:b/>
          <w:bCs/>
          <w:sz w:val="44"/>
          <w:szCs w:val="44"/>
        </w:rPr>
        <w:t>市“十四五”人力资源和社会保障</w:t>
      </w:r>
    </w:p>
    <w:p w14:paraId="3230EAD5">
      <w:pPr>
        <w:spacing w:line="560" w:lineRule="exact"/>
        <w:jc w:val="center"/>
        <w:rPr>
          <w:rFonts w:ascii="方正小标宋简体" w:hAnsi="方正小标宋简体"/>
          <w:b/>
          <w:bCs/>
          <w:sz w:val="44"/>
          <w:szCs w:val="44"/>
        </w:rPr>
      </w:pPr>
      <w:r>
        <w:rPr>
          <w:rFonts w:ascii="方正小标宋简体" w:hAnsi="方正小标宋简体"/>
          <w:b/>
          <w:bCs/>
          <w:sz w:val="44"/>
          <w:szCs w:val="44"/>
        </w:rPr>
        <w:t>事业发展规划</w:t>
      </w:r>
    </w:p>
    <w:p w14:paraId="19949CBB">
      <w:pPr>
        <w:spacing w:line="560" w:lineRule="exact"/>
        <w:jc w:val="center"/>
        <w:rPr>
          <w:rFonts w:ascii="方正小标宋简体" w:hAnsi="方正小标宋简体"/>
          <w:b/>
          <w:bCs/>
          <w:sz w:val="44"/>
          <w:szCs w:val="44"/>
        </w:rPr>
      </w:pPr>
    </w:p>
    <w:p w14:paraId="4772796E">
      <w:pPr>
        <w:spacing w:line="560" w:lineRule="exact"/>
        <w:jc w:val="center"/>
        <w:rPr>
          <w:rFonts w:hint="eastAsia" w:ascii="楷体" w:hAnsi="楷体" w:eastAsia="楷体" w:cs="楷体"/>
          <w:b w:val="0"/>
          <w:bCs w:val="0"/>
          <w:sz w:val="28"/>
          <w:szCs w:val="28"/>
        </w:rPr>
      </w:pPr>
      <w:r>
        <w:rPr>
          <w:rFonts w:hint="eastAsia" w:ascii="楷体" w:hAnsi="楷体" w:eastAsia="楷体" w:cs="楷体"/>
          <w:b w:val="0"/>
          <w:bCs w:val="0"/>
          <w:sz w:val="28"/>
          <w:szCs w:val="28"/>
        </w:rPr>
        <w:t>赤政办发〔2022〕22号</w:t>
      </w:r>
    </w:p>
    <w:p w14:paraId="19ADC293">
      <w:pPr>
        <w:spacing w:line="560" w:lineRule="exact"/>
        <w:jc w:val="center"/>
        <w:rPr>
          <w:rFonts w:ascii="方正小标宋简体" w:hAnsi="方正小标宋简体"/>
          <w:sz w:val="32"/>
          <w:szCs w:val="32"/>
        </w:rPr>
      </w:pPr>
      <w:r>
        <w:rPr>
          <w:rFonts w:ascii="方正小标宋简体" w:hAnsi="方正小标宋简体"/>
          <w:sz w:val="32"/>
          <w:szCs w:val="32"/>
        </w:rPr>
        <w:t xml:space="preserve"> </w:t>
      </w:r>
    </w:p>
    <w:p w14:paraId="3A0E4909">
      <w:pPr>
        <w:spacing w:line="560" w:lineRule="exact"/>
        <w:ind w:firstLine="640" w:firstLineChars="200"/>
        <w:jc w:val="left"/>
        <w:rPr>
          <w:rFonts w:ascii="仿宋_GB2312" w:hAnsi="仿宋_GB2312"/>
          <w:sz w:val="32"/>
          <w:szCs w:val="32"/>
        </w:rPr>
      </w:pPr>
      <w:r>
        <w:rPr>
          <w:rFonts w:ascii="仿宋_GB2312" w:hAnsi="仿宋_GB2312"/>
          <w:sz w:val="32"/>
          <w:szCs w:val="32"/>
        </w:rPr>
        <w:t>“十四五”时期是我国全面建成小康社会、实现第一个百年奋斗目标之后，乘势而上开启全面建设社会主义现代化国家新征程、向第二个百年奋斗目标进军的第一个五年，也是赤峰市推进经济社会高质量发展、实现跨越崛起的关键时期。自治区提出“五个定位”和“双子星座”战略部署，市第八次党代会全面吹响了建设“六个赤峰”的战斗号角，为服务全市经济社会发展大局，着力保障和改善民生，促进全市人力资源和社会保障事业向更高水平发展，根据《赤峰市国民经济和社会发展第十四个五年规划纲要》和《内蒙古自治区人力资源和社会保障事业发展“十四五”规划》编制本规划。</w:t>
      </w:r>
    </w:p>
    <w:p w14:paraId="5114AA9F">
      <w:pPr>
        <w:spacing w:line="560" w:lineRule="exact"/>
        <w:ind w:firstLine="640" w:firstLineChars="200"/>
        <w:jc w:val="left"/>
        <w:rPr>
          <w:rFonts w:ascii="仿宋_GB2312" w:hAnsi="仿宋_GB2312"/>
          <w:sz w:val="32"/>
          <w:szCs w:val="32"/>
        </w:rPr>
      </w:pPr>
      <w:r>
        <w:rPr>
          <w:rFonts w:ascii="仿宋_GB2312" w:hAnsi="仿宋_GB2312"/>
          <w:sz w:val="32"/>
          <w:szCs w:val="32"/>
        </w:rPr>
        <w:t xml:space="preserve"> </w:t>
      </w:r>
    </w:p>
    <w:p w14:paraId="20E27320">
      <w:pPr>
        <w:pStyle w:val="2"/>
        <w:spacing w:before="0" w:after="0" w:line="560" w:lineRule="exact"/>
        <w:jc w:val="center"/>
        <w:rPr>
          <w:rFonts w:ascii="黑体" w:hAnsi="黑体" w:eastAsia="黑体"/>
          <w:b w:val="0"/>
          <w:sz w:val="32"/>
          <w:szCs w:val="32"/>
          <w:shd w:val="clear" w:color="auto" w:fill="FFFFFF"/>
        </w:rPr>
      </w:pPr>
      <w:r>
        <w:rPr>
          <w:rFonts w:hint="eastAsia" w:ascii="黑体" w:hAnsi="黑体" w:eastAsia="黑体"/>
          <w:b w:val="0"/>
          <w:sz w:val="32"/>
          <w:szCs w:val="32"/>
          <w:shd w:val="clear" w:color="auto" w:fill="FFFFFF"/>
        </w:rPr>
        <w:t xml:space="preserve">第一章 </w:t>
      </w:r>
      <w:r>
        <w:rPr>
          <w:rFonts w:ascii="黑体" w:hAnsi="黑体" w:eastAsia="黑体"/>
          <w:b w:val="0"/>
          <w:sz w:val="32"/>
          <w:szCs w:val="32"/>
          <w:shd w:val="clear" w:color="auto" w:fill="FFFFFF"/>
        </w:rPr>
        <w:t xml:space="preserve"> </w:t>
      </w:r>
      <w:r>
        <w:rPr>
          <w:rFonts w:hint="eastAsia" w:ascii="黑体" w:hAnsi="黑体" w:eastAsia="黑体"/>
          <w:b w:val="0"/>
          <w:sz w:val="32"/>
          <w:szCs w:val="32"/>
          <w:shd w:val="clear" w:color="auto" w:fill="FFFFFF"/>
        </w:rPr>
        <w:t>指导思想和主要目标</w:t>
      </w:r>
    </w:p>
    <w:p w14:paraId="2A67528A">
      <w:pPr>
        <w:rPr>
          <w:rFonts w:hint="eastAsia" w:ascii="宋体" w:hAnsi="宋体"/>
        </w:rPr>
      </w:pPr>
      <w:r>
        <w:rPr>
          <w:rFonts w:hint="eastAsia" w:ascii="宋体" w:hAnsi="宋体"/>
        </w:rPr>
        <w:t xml:space="preserve"> </w:t>
      </w:r>
    </w:p>
    <w:p w14:paraId="58D64FA6">
      <w:pPr>
        <w:pStyle w:val="3"/>
        <w:rPr>
          <w:rFonts w:hint="eastAsia" w:ascii="楷体_GB2312"/>
          <w:b/>
        </w:rPr>
      </w:pPr>
      <w:r>
        <w:rPr>
          <w:rFonts w:ascii="楷体_GB2312" w:hAnsi="楷体_GB2312"/>
          <w:b/>
        </w:rPr>
        <w:t>第一节</w:t>
      </w:r>
      <w:r>
        <w:rPr>
          <w:rFonts w:ascii="楷体_GB2312"/>
          <w:b/>
        </w:rPr>
        <w:t xml:space="preserve"> </w:t>
      </w:r>
      <w:r>
        <w:rPr>
          <w:rFonts w:ascii="楷体_GB2312" w:hAnsi="楷体_GB2312"/>
          <w:b/>
        </w:rPr>
        <w:t>发展基础</w:t>
      </w:r>
    </w:p>
    <w:p w14:paraId="30BA7324">
      <w:pPr>
        <w:spacing w:line="560" w:lineRule="exact"/>
        <w:ind w:firstLine="640" w:firstLineChars="200"/>
        <w:rPr>
          <w:rFonts w:ascii="仿宋_GB2312" w:hAnsi="仿宋_GB2312"/>
          <w:sz w:val="32"/>
          <w:szCs w:val="32"/>
        </w:rPr>
      </w:pPr>
      <w:r>
        <w:rPr>
          <w:rFonts w:ascii="仿宋_GB2312" w:hAnsi="仿宋_GB2312"/>
          <w:sz w:val="32"/>
          <w:szCs w:val="32"/>
        </w:rPr>
        <w:t xml:space="preserve"> “十三五”时期全市各级人力资源和社会保障部门认真贯彻落实党中央决策部署和自治区党委、政府工作要求，坚持“民生为本、人才优先”工作主线，稳中求进、克难前行，较好地完成了“十三五”时期各项目标任务。</w:t>
      </w:r>
    </w:p>
    <w:p w14:paraId="7BDFEBC4">
      <w:pPr>
        <w:spacing w:line="560" w:lineRule="exact"/>
        <w:ind w:firstLine="640" w:firstLineChars="200"/>
        <w:rPr>
          <w:rFonts w:ascii="仿宋_GB2312" w:hAnsi="仿宋_GB2312"/>
          <w:sz w:val="32"/>
          <w:szCs w:val="32"/>
        </w:rPr>
      </w:pPr>
      <w:r>
        <w:rPr>
          <w:rFonts w:ascii="仿宋_GB2312" w:hAnsi="仿宋_GB2312"/>
          <w:sz w:val="32"/>
          <w:szCs w:val="32"/>
        </w:rPr>
        <w:t>就业形势稳中有进，重点群体就业渠道进一步拓宽，创业带动就业作用深度释放，</w:t>
      </w:r>
      <w:r>
        <w:rPr>
          <w:rFonts w:ascii="仿宋_GB2312" w:hAnsi="仿宋_GB2312"/>
          <w:kern w:val="0"/>
          <w:sz w:val="32"/>
          <w:szCs w:val="32"/>
        </w:rPr>
        <w:t>全市累计城镇新增就业13.9万人，城镇登记失业率保持在4.5%以下；</w:t>
      </w:r>
      <w:r>
        <w:rPr>
          <w:rFonts w:ascii="仿宋_GB2312" w:hAnsi="仿宋_GB2312"/>
          <w:sz w:val="32"/>
          <w:szCs w:val="32"/>
        </w:rPr>
        <w:t>扎实推进全民参保计划，全市参加基本养老保险270.05万人，工伤保险38.3万人，失业保险26.86万人，发放养老金636.9亿元、工伤保险金7.72亿元、失业保险金1.3亿元，基本民生得到有效保障；人才队伍持续壮大，新增高技能人才1.1万人，专业技术人才达到15万人，建设“玉龙人才”公寓199套；事业单位管理进一步规范，岗位管理、合同聘用制度入轨运行，分级分类公开招聘有序推进，事业单位活力明显提升；劳动关系总体保持稳定，市县两级协调劳动关系三方机制组建率100%，16家企业被评为国家、自治区模范和谐劳动关系企业；工资支付保障机制日益健全，为3.4万名劳动者追讨工资5.26亿元，劳动仲裁结案率99.04%，调解成功率62.77%；国有企业薪酬制度改革稳步推进，收入日趋公平合理；基本公共服务建设迈上新台阶，382家“人力资源和社会保障综合服务中心”建成使用，“一次、一门、一窗、一网”改革加快推进，建成市政务服务大厅人社分厅，在全区率先实施“综合柜员制”服务模式，被评为“全国人社系统优质服务窗口”。“十三五”时期，全市人力资源和社会保障事业发展蹄疾步稳，为我市改革发展稳定大局提供了有力支撑，也为我市人力资源和社会保障事业持续健康发展奠定了坚实基础。</w:t>
      </w:r>
    </w:p>
    <w:tbl>
      <w:tblPr>
        <w:tblStyle w:val="5"/>
        <w:tblW w:w="8772" w:type="dxa"/>
        <w:jc w:val="center"/>
        <w:tblLayout w:type="fixed"/>
        <w:tblCellMar>
          <w:top w:w="0" w:type="dxa"/>
          <w:left w:w="108" w:type="dxa"/>
          <w:bottom w:w="0" w:type="dxa"/>
          <w:right w:w="108" w:type="dxa"/>
        </w:tblCellMar>
      </w:tblPr>
      <w:tblGrid>
        <w:gridCol w:w="4092"/>
        <w:gridCol w:w="1418"/>
        <w:gridCol w:w="1715"/>
        <w:gridCol w:w="1547"/>
      </w:tblGrid>
      <w:tr w14:paraId="286E559F">
        <w:tblPrEx>
          <w:tblCellMar>
            <w:top w:w="0" w:type="dxa"/>
            <w:left w:w="108" w:type="dxa"/>
            <w:bottom w:w="0" w:type="dxa"/>
            <w:right w:w="108" w:type="dxa"/>
          </w:tblCellMar>
        </w:tblPrEx>
        <w:trPr>
          <w:trHeight w:val="558" w:hRule="atLeast"/>
          <w:jc w:val="center"/>
        </w:trPr>
        <w:tc>
          <w:tcPr>
            <w:tcW w:w="8772" w:type="dxa"/>
            <w:gridSpan w:val="4"/>
            <w:tcBorders>
              <w:top w:val="single" w:color="auto" w:sz="4" w:space="0"/>
              <w:left w:val="single" w:color="auto" w:sz="4" w:space="0"/>
              <w:bottom w:val="nil"/>
              <w:right w:val="single" w:color="auto" w:sz="4" w:space="0"/>
            </w:tcBorders>
            <w:vAlign w:val="center"/>
          </w:tcPr>
          <w:p w14:paraId="5864A72D">
            <w:pPr>
              <w:spacing w:line="560" w:lineRule="exact"/>
              <w:jc w:val="center"/>
              <w:rPr>
                <w:rFonts w:ascii="黑体" w:hAnsi="黑体" w:eastAsia="黑体"/>
                <w:bCs/>
                <w:color w:val="000000"/>
                <w:spacing w:val="-10"/>
                <w:kern w:val="0"/>
                <w:sz w:val="32"/>
                <w:szCs w:val="32"/>
              </w:rPr>
            </w:pPr>
            <w:r>
              <w:rPr>
                <w:rFonts w:hint="eastAsia" w:ascii="黑体" w:hAnsi="黑体" w:eastAsia="黑体"/>
                <w:bCs/>
                <w:color w:val="000000"/>
                <w:spacing w:val="-10"/>
                <w:kern w:val="0"/>
                <w:sz w:val="32"/>
                <w:szCs w:val="32"/>
              </w:rPr>
              <w:t>专栏1  “十三五”时期主要指标完成情况</w:t>
            </w:r>
          </w:p>
        </w:tc>
      </w:tr>
      <w:tr w14:paraId="31ABB36E">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nil"/>
              <w:right w:val="single" w:color="auto" w:sz="4" w:space="0"/>
            </w:tcBorders>
            <w:vAlign w:val="center"/>
          </w:tcPr>
          <w:p w14:paraId="2BD77A4C">
            <w:pPr>
              <w:widowControl/>
              <w:spacing w:line="460" w:lineRule="exact"/>
              <w:jc w:val="center"/>
              <w:rPr>
                <w:rFonts w:hint="eastAsia" w:ascii="Times New Roman" w:hAnsi="Times New Roman" w:eastAsia="黑体" w:cs="Times New Roman"/>
                <w:color w:val="000000"/>
                <w:spacing w:val="-10"/>
                <w:kern w:val="0"/>
              </w:rPr>
            </w:pPr>
            <w:r>
              <w:rPr>
                <w:rFonts w:hint="eastAsia" w:ascii="黑体" w:hAnsi="黑体" w:eastAsia="黑体"/>
                <w:color w:val="000000"/>
                <w:spacing w:val="-10"/>
                <w:kern w:val="0"/>
              </w:rPr>
              <w:t>指标</w:t>
            </w:r>
          </w:p>
        </w:tc>
        <w:tc>
          <w:tcPr>
            <w:tcW w:w="1418" w:type="dxa"/>
            <w:tcBorders>
              <w:top w:val="single" w:color="auto" w:sz="4" w:space="0"/>
              <w:left w:val="nil"/>
              <w:bottom w:val="single" w:color="auto" w:sz="4" w:space="0"/>
              <w:right w:val="single" w:color="auto" w:sz="4" w:space="0"/>
            </w:tcBorders>
            <w:vAlign w:val="center"/>
          </w:tcPr>
          <w:p w14:paraId="047B7EAB">
            <w:pPr>
              <w:widowControl/>
              <w:spacing w:line="460" w:lineRule="exact"/>
              <w:jc w:val="center"/>
              <w:rPr>
                <w:rFonts w:ascii="Times New Roman" w:hAnsi="Times New Roman" w:eastAsia="黑体" w:cs="Times New Roman"/>
                <w:color w:val="000000"/>
                <w:spacing w:val="-10"/>
                <w:kern w:val="0"/>
              </w:rPr>
            </w:pPr>
            <w:r>
              <w:rPr>
                <w:rFonts w:ascii="Times New Roman" w:hAnsi="Times New Roman" w:eastAsia="黑体" w:cs="Times New Roman"/>
                <w:color w:val="000000"/>
                <w:spacing w:val="-10"/>
                <w:kern w:val="0"/>
              </w:rPr>
              <w:t>2015</w:t>
            </w:r>
            <w:r>
              <w:rPr>
                <w:rFonts w:hint="eastAsia" w:ascii="黑体" w:hAnsi="黑体" w:eastAsia="黑体"/>
                <w:color w:val="000000"/>
                <w:spacing w:val="-10"/>
                <w:kern w:val="0"/>
              </w:rPr>
              <w:t>年基数</w:t>
            </w:r>
          </w:p>
        </w:tc>
        <w:tc>
          <w:tcPr>
            <w:tcW w:w="1715" w:type="dxa"/>
            <w:tcBorders>
              <w:top w:val="single" w:color="auto" w:sz="4" w:space="0"/>
              <w:left w:val="nil"/>
              <w:bottom w:val="single" w:color="auto" w:sz="4" w:space="0"/>
              <w:right w:val="single" w:color="auto" w:sz="4" w:space="0"/>
            </w:tcBorders>
            <w:vAlign w:val="center"/>
          </w:tcPr>
          <w:p w14:paraId="10B71D6C">
            <w:pPr>
              <w:spacing w:line="460" w:lineRule="exact"/>
              <w:jc w:val="center"/>
              <w:rPr>
                <w:rFonts w:ascii="Times New Roman" w:hAnsi="Times New Roman" w:eastAsia="黑体" w:cs="Times New Roman"/>
                <w:color w:val="000000"/>
                <w:spacing w:val="-16"/>
                <w:kern w:val="0"/>
              </w:rPr>
            </w:pPr>
            <w:r>
              <w:rPr>
                <w:rFonts w:ascii="Times New Roman" w:hAnsi="Times New Roman" w:eastAsia="黑体" w:cs="Times New Roman"/>
                <w:color w:val="000000"/>
                <w:spacing w:val="-16"/>
                <w:kern w:val="0"/>
              </w:rPr>
              <w:t>“</w:t>
            </w:r>
            <w:r>
              <w:rPr>
                <w:rFonts w:hint="eastAsia" w:ascii="黑体" w:hAnsi="黑体" w:eastAsia="黑体"/>
                <w:color w:val="000000"/>
                <w:spacing w:val="-16"/>
                <w:kern w:val="0"/>
              </w:rPr>
              <w:t>十三五</w:t>
            </w:r>
            <w:r>
              <w:rPr>
                <w:rFonts w:ascii="Times New Roman" w:hAnsi="Times New Roman" w:eastAsia="黑体" w:cs="Times New Roman"/>
                <w:color w:val="000000"/>
                <w:spacing w:val="-16"/>
                <w:kern w:val="0"/>
              </w:rPr>
              <w:t>”</w:t>
            </w:r>
            <w:r>
              <w:rPr>
                <w:rFonts w:hint="eastAsia" w:ascii="黑体" w:hAnsi="黑体" w:eastAsia="黑体"/>
                <w:color w:val="000000"/>
                <w:spacing w:val="-16"/>
                <w:kern w:val="0"/>
              </w:rPr>
              <w:t>规划目标</w:t>
            </w:r>
          </w:p>
        </w:tc>
        <w:tc>
          <w:tcPr>
            <w:tcW w:w="1547" w:type="dxa"/>
            <w:tcBorders>
              <w:top w:val="single" w:color="auto" w:sz="4" w:space="0"/>
              <w:left w:val="nil"/>
              <w:bottom w:val="single" w:color="auto" w:sz="4" w:space="0"/>
              <w:right w:val="single" w:color="auto" w:sz="4" w:space="0"/>
            </w:tcBorders>
            <w:vAlign w:val="center"/>
          </w:tcPr>
          <w:p w14:paraId="5BF06DA8">
            <w:pPr>
              <w:widowControl/>
              <w:spacing w:line="460" w:lineRule="exact"/>
              <w:jc w:val="center"/>
              <w:rPr>
                <w:rFonts w:ascii="Times New Roman" w:hAnsi="Times New Roman" w:eastAsia="黑体" w:cs="Times New Roman"/>
                <w:color w:val="000000"/>
                <w:spacing w:val="-10"/>
                <w:kern w:val="0"/>
              </w:rPr>
            </w:pPr>
            <w:r>
              <w:rPr>
                <w:rFonts w:ascii="Times New Roman" w:hAnsi="Times New Roman" w:eastAsia="黑体" w:cs="Times New Roman"/>
                <w:color w:val="000000"/>
                <w:spacing w:val="-10"/>
                <w:kern w:val="0"/>
              </w:rPr>
              <w:t>2020</w:t>
            </w:r>
            <w:r>
              <w:rPr>
                <w:rFonts w:hint="eastAsia" w:ascii="黑体" w:hAnsi="黑体" w:eastAsia="黑体"/>
                <w:color w:val="000000"/>
                <w:spacing w:val="-10"/>
                <w:kern w:val="0"/>
              </w:rPr>
              <w:t>年完成数</w:t>
            </w:r>
          </w:p>
        </w:tc>
      </w:tr>
      <w:tr w14:paraId="1AC7AB6E">
        <w:tblPrEx>
          <w:tblCellMar>
            <w:top w:w="0" w:type="dxa"/>
            <w:left w:w="108" w:type="dxa"/>
            <w:bottom w:w="0" w:type="dxa"/>
            <w:right w:w="108" w:type="dxa"/>
          </w:tblCellMar>
        </w:tblPrEx>
        <w:trPr>
          <w:trHeight w:val="340" w:hRule="atLeast"/>
          <w:jc w:val="center"/>
        </w:trPr>
        <w:tc>
          <w:tcPr>
            <w:tcW w:w="8772" w:type="dxa"/>
            <w:gridSpan w:val="4"/>
            <w:tcBorders>
              <w:top w:val="single" w:color="auto" w:sz="4" w:space="0"/>
              <w:left w:val="single" w:color="auto" w:sz="4" w:space="0"/>
              <w:bottom w:val="single" w:color="auto" w:sz="4" w:space="0"/>
              <w:right w:val="single" w:color="auto" w:sz="4" w:space="0"/>
            </w:tcBorders>
            <w:vAlign w:val="center"/>
          </w:tcPr>
          <w:p w14:paraId="230F3DEE">
            <w:pPr>
              <w:spacing w:line="480" w:lineRule="exact"/>
              <w:rPr>
                <w:rFonts w:ascii="Times New Roman" w:hAnsi="Times New Roman" w:cs="Times New Roman"/>
                <w:color w:val="000000"/>
                <w:spacing w:val="-10"/>
              </w:rPr>
            </w:pPr>
            <w:r>
              <w:rPr>
                <w:rFonts w:hint="eastAsia" w:ascii="黑体" w:hAnsi="黑体" w:eastAsia="黑体"/>
                <w:color w:val="000000"/>
                <w:spacing w:val="-10"/>
                <w:kern w:val="0"/>
              </w:rPr>
              <w:t>一、就业</w:t>
            </w:r>
          </w:p>
        </w:tc>
      </w:tr>
      <w:tr w14:paraId="10D568C8">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790857E0">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1</w:t>
            </w:r>
            <w:r>
              <w:rPr>
                <w:rFonts w:hint="eastAsia" w:ascii="宋体" w:hAnsi="宋体"/>
                <w:color w:val="000000"/>
                <w:spacing w:val="-10"/>
                <w:kern w:val="0"/>
              </w:rPr>
              <w:t>．城镇新增就业人数（万人）</w:t>
            </w:r>
          </w:p>
        </w:tc>
        <w:tc>
          <w:tcPr>
            <w:tcW w:w="1418" w:type="dxa"/>
            <w:tcBorders>
              <w:top w:val="nil"/>
              <w:left w:val="nil"/>
              <w:bottom w:val="single" w:color="auto" w:sz="4" w:space="0"/>
              <w:right w:val="single" w:color="auto" w:sz="4" w:space="0"/>
            </w:tcBorders>
            <w:vAlign w:val="center"/>
          </w:tcPr>
          <w:p w14:paraId="50202010">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[14]</w:t>
            </w:r>
          </w:p>
        </w:tc>
        <w:tc>
          <w:tcPr>
            <w:tcW w:w="1715" w:type="dxa"/>
            <w:tcBorders>
              <w:top w:val="nil"/>
              <w:left w:val="nil"/>
              <w:bottom w:val="single" w:color="auto" w:sz="4" w:space="0"/>
              <w:right w:val="single" w:color="auto" w:sz="4" w:space="0"/>
            </w:tcBorders>
            <w:vAlign w:val="center"/>
          </w:tcPr>
          <w:p w14:paraId="7B7AF108">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[15]</w:t>
            </w:r>
          </w:p>
        </w:tc>
        <w:tc>
          <w:tcPr>
            <w:tcW w:w="1547" w:type="dxa"/>
            <w:tcBorders>
              <w:top w:val="nil"/>
              <w:left w:val="nil"/>
              <w:bottom w:val="single" w:color="auto" w:sz="4" w:space="0"/>
              <w:right w:val="single" w:color="auto" w:sz="4" w:space="0"/>
            </w:tcBorders>
            <w:vAlign w:val="center"/>
          </w:tcPr>
          <w:p w14:paraId="367DBD56">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[13.9]</w:t>
            </w:r>
          </w:p>
        </w:tc>
      </w:tr>
      <w:tr w14:paraId="0F8A4B28">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662180A5">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2</w:t>
            </w:r>
            <w:r>
              <w:rPr>
                <w:rFonts w:hint="eastAsia" w:ascii="宋体" w:hAnsi="宋体"/>
                <w:color w:val="000000"/>
                <w:spacing w:val="-10"/>
                <w:kern w:val="0"/>
              </w:rPr>
              <w:t>．高校毕业生就业（万人）</w:t>
            </w:r>
          </w:p>
        </w:tc>
        <w:tc>
          <w:tcPr>
            <w:tcW w:w="1418" w:type="dxa"/>
            <w:tcBorders>
              <w:top w:val="single" w:color="auto" w:sz="4" w:space="0"/>
              <w:left w:val="nil"/>
              <w:bottom w:val="single" w:color="auto" w:sz="4" w:space="0"/>
              <w:right w:val="single" w:color="auto" w:sz="4" w:space="0"/>
            </w:tcBorders>
            <w:vAlign w:val="center"/>
          </w:tcPr>
          <w:p w14:paraId="2E51186D">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[1.2 ]</w:t>
            </w:r>
          </w:p>
        </w:tc>
        <w:tc>
          <w:tcPr>
            <w:tcW w:w="1715" w:type="dxa"/>
            <w:tcBorders>
              <w:top w:val="single" w:color="auto" w:sz="4" w:space="0"/>
              <w:left w:val="nil"/>
              <w:bottom w:val="single" w:color="auto" w:sz="4" w:space="0"/>
              <w:right w:val="single" w:color="auto" w:sz="4" w:space="0"/>
            </w:tcBorders>
            <w:vAlign w:val="center"/>
          </w:tcPr>
          <w:p w14:paraId="7822E94F">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[6]</w:t>
            </w:r>
          </w:p>
        </w:tc>
        <w:tc>
          <w:tcPr>
            <w:tcW w:w="1547" w:type="dxa"/>
            <w:tcBorders>
              <w:top w:val="single" w:color="auto" w:sz="4" w:space="0"/>
              <w:left w:val="nil"/>
              <w:bottom w:val="single" w:color="auto" w:sz="4" w:space="0"/>
              <w:right w:val="single" w:color="auto" w:sz="4" w:space="0"/>
            </w:tcBorders>
            <w:vAlign w:val="center"/>
          </w:tcPr>
          <w:p w14:paraId="6E5D6220">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[6.8]</w:t>
            </w:r>
          </w:p>
        </w:tc>
      </w:tr>
      <w:tr w14:paraId="45CA96E4">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4771F5CD">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3</w:t>
            </w:r>
            <w:r>
              <w:rPr>
                <w:rFonts w:hint="eastAsia" w:ascii="宋体" w:hAnsi="宋体"/>
                <w:color w:val="000000"/>
                <w:spacing w:val="-10"/>
                <w:kern w:val="0"/>
              </w:rPr>
              <w:t>．城镇失业人员再就业人数（万人）</w:t>
            </w:r>
          </w:p>
        </w:tc>
        <w:tc>
          <w:tcPr>
            <w:tcW w:w="1418" w:type="dxa"/>
            <w:tcBorders>
              <w:top w:val="single" w:color="auto" w:sz="4" w:space="0"/>
              <w:left w:val="nil"/>
              <w:bottom w:val="single" w:color="auto" w:sz="4" w:space="0"/>
              <w:right w:val="single" w:color="auto" w:sz="4" w:space="0"/>
            </w:tcBorders>
            <w:vAlign w:val="center"/>
          </w:tcPr>
          <w:p w14:paraId="79EFA31E">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[4.3]</w:t>
            </w:r>
          </w:p>
        </w:tc>
        <w:tc>
          <w:tcPr>
            <w:tcW w:w="1715" w:type="dxa"/>
            <w:tcBorders>
              <w:top w:val="single" w:color="auto" w:sz="4" w:space="0"/>
              <w:left w:val="nil"/>
              <w:bottom w:val="single" w:color="auto" w:sz="4" w:space="0"/>
              <w:right w:val="single" w:color="auto" w:sz="4" w:space="0"/>
            </w:tcBorders>
            <w:vAlign w:val="center"/>
          </w:tcPr>
          <w:p w14:paraId="7951BA72">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[2.5]</w:t>
            </w:r>
          </w:p>
        </w:tc>
        <w:tc>
          <w:tcPr>
            <w:tcW w:w="1547" w:type="dxa"/>
            <w:tcBorders>
              <w:top w:val="single" w:color="auto" w:sz="4" w:space="0"/>
              <w:left w:val="nil"/>
              <w:bottom w:val="single" w:color="auto" w:sz="4" w:space="0"/>
              <w:right w:val="single" w:color="auto" w:sz="4" w:space="0"/>
            </w:tcBorders>
            <w:vAlign w:val="center"/>
          </w:tcPr>
          <w:p w14:paraId="4F6A8DB1">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[4.1]</w:t>
            </w:r>
          </w:p>
        </w:tc>
      </w:tr>
      <w:tr w14:paraId="00DE5425">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080B8FA2">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4</w:t>
            </w:r>
            <w:r>
              <w:rPr>
                <w:rFonts w:hint="eastAsia" w:ascii="宋体" w:hAnsi="宋体"/>
                <w:color w:val="000000"/>
                <w:spacing w:val="-10"/>
                <w:kern w:val="0"/>
              </w:rPr>
              <w:t>．就业困难人员就业人数（万人）</w:t>
            </w:r>
          </w:p>
        </w:tc>
        <w:tc>
          <w:tcPr>
            <w:tcW w:w="1418" w:type="dxa"/>
            <w:tcBorders>
              <w:top w:val="single" w:color="auto" w:sz="4" w:space="0"/>
              <w:left w:val="nil"/>
              <w:bottom w:val="single" w:color="auto" w:sz="4" w:space="0"/>
              <w:right w:val="single" w:color="auto" w:sz="4" w:space="0"/>
            </w:tcBorders>
            <w:vAlign w:val="center"/>
          </w:tcPr>
          <w:p w14:paraId="3E91F56C">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[4.7]</w:t>
            </w:r>
          </w:p>
        </w:tc>
        <w:tc>
          <w:tcPr>
            <w:tcW w:w="1715" w:type="dxa"/>
            <w:tcBorders>
              <w:top w:val="single" w:color="auto" w:sz="4" w:space="0"/>
              <w:left w:val="nil"/>
              <w:bottom w:val="single" w:color="auto" w:sz="4" w:space="0"/>
              <w:right w:val="single" w:color="auto" w:sz="4" w:space="0"/>
            </w:tcBorders>
            <w:vAlign w:val="center"/>
          </w:tcPr>
          <w:p w14:paraId="0080F339">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[3.6]</w:t>
            </w:r>
          </w:p>
        </w:tc>
        <w:tc>
          <w:tcPr>
            <w:tcW w:w="1547" w:type="dxa"/>
            <w:tcBorders>
              <w:top w:val="single" w:color="auto" w:sz="4" w:space="0"/>
              <w:left w:val="nil"/>
              <w:bottom w:val="single" w:color="auto" w:sz="4" w:space="0"/>
              <w:right w:val="single" w:color="auto" w:sz="4" w:space="0"/>
            </w:tcBorders>
            <w:vAlign w:val="center"/>
          </w:tcPr>
          <w:p w14:paraId="6DFF9404">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[5.6]</w:t>
            </w:r>
          </w:p>
        </w:tc>
      </w:tr>
      <w:tr w14:paraId="30921A68">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6C4EC3AA">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5</w:t>
            </w:r>
            <w:r>
              <w:rPr>
                <w:rFonts w:hint="eastAsia" w:ascii="宋体" w:hAnsi="宋体"/>
                <w:color w:val="000000"/>
                <w:spacing w:val="-10"/>
                <w:kern w:val="0"/>
              </w:rPr>
              <w:t>．城镇登记失业率（</w:t>
            </w:r>
            <w:r>
              <w:rPr>
                <w:rFonts w:ascii="Times New Roman" w:hAnsi="Times New Roman" w:cs="Times New Roman"/>
                <w:color w:val="000000"/>
                <w:spacing w:val="-10"/>
                <w:kern w:val="0"/>
              </w:rPr>
              <w:t>%</w:t>
            </w:r>
            <w:r>
              <w:rPr>
                <w:rFonts w:hint="eastAsia" w:ascii="宋体" w:hAnsi="宋体"/>
                <w:color w:val="000000"/>
                <w:spacing w:val="-10"/>
                <w:kern w:val="0"/>
              </w:rPr>
              <w:t>）</w:t>
            </w:r>
          </w:p>
        </w:tc>
        <w:tc>
          <w:tcPr>
            <w:tcW w:w="1418" w:type="dxa"/>
            <w:tcBorders>
              <w:top w:val="single" w:color="auto" w:sz="4" w:space="0"/>
              <w:left w:val="nil"/>
              <w:bottom w:val="single" w:color="auto" w:sz="4" w:space="0"/>
              <w:right w:val="single" w:color="auto" w:sz="4" w:space="0"/>
            </w:tcBorders>
            <w:vAlign w:val="center"/>
          </w:tcPr>
          <w:p w14:paraId="24B541C1">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3.98</w:t>
            </w:r>
          </w:p>
        </w:tc>
        <w:tc>
          <w:tcPr>
            <w:tcW w:w="1715" w:type="dxa"/>
            <w:tcBorders>
              <w:top w:val="single" w:color="auto" w:sz="4" w:space="0"/>
              <w:left w:val="nil"/>
              <w:bottom w:val="single" w:color="auto" w:sz="4" w:space="0"/>
              <w:right w:val="single" w:color="auto" w:sz="4" w:space="0"/>
            </w:tcBorders>
            <w:vAlign w:val="center"/>
          </w:tcPr>
          <w:p w14:paraId="58A844D4">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&lt;4.5</w:t>
            </w:r>
          </w:p>
        </w:tc>
        <w:tc>
          <w:tcPr>
            <w:tcW w:w="1547" w:type="dxa"/>
            <w:tcBorders>
              <w:top w:val="single" w:color="auto" w:sz="4" w:space="0"/>
              <w:left w:val="nil"/>
              <w:bottom w:val="single" w:color="auto" w:sz="4" w:space="0"/>
              <w:right w:val="single" w:color="auto" w:sz="4" w:space="0"/>
            </w:tcBorders>
            <w:vAlign w:val="center"/>
          </w:tcPr>
          <w:p w14:paraId="4A65704D">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4.08</w:t>
            </w:r>
          </w:p>
        </w:tc>
      </w:tr>
      <w:tr w14:paraId="33F2763A">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700BD8DA">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6</w:t>
            </w:r>
            <w:r>
              <w:rPr>
                <w:rFonts w:hint="eastAsia" w:ascii="宋体" w:hAnsi="宋体"/>
                <w:color w:val="000000"/>
                <w:spacing w:val="-10"/>
                <w:kern w:val="0"/>
              </w:rPr>
              <w:t>．农牧民转移就业人数（万人次）</w:t>
            </w:r>
          </w:p>
        </w:tc>
        <w:tc>
          <w:tcPr>
            <w:tcW w:w="1418" w:type="dxa"/>
            <w:tcBorders>
              <w:top w:val="nil"/>
              <w:left w:val="nil"/>
              <w:bottom w:val="single" w:color="auto" w:sz="4" w:space="0"/>
              <w:right w:val="single" w:color="auto" w:sz="4" w:space="0"/>
            </w:tcBorders>
            <w:vAlign w:val="center"/>
          </w:tcPr>
          <w:p w14:paraId="118B1191">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[354.7]</w:t>
            </w:r>
          </w:p>
        </w:tc>
        <w:tc>
          <w:tcPr>
            <w:tcW w:w="1715" w:type="dxa"/>
            <w:tcBorders>
              <w:top w:val="nil"/>
              <w:left w:val="nil"/>
              <w:bottom w:val="single" w:color="auto" w:sz="4" w:space="0"/>
              <w:right w:val="single" w:color="auto" w:sz="4" w:space="0"/>
            </w:tcBorders>
            <w:vAlign w:val="center"/>
          </w:tcPr>
          <w:p w14:paraId="1F2DB095">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[342.5]</w:t>
            </w:r>
          </w:p>
        </w:tc>
        <w:tc>
          <w:tcPr>
            <w:tcW w:w="1547" w:type="dxa"/>
            <w:tcBorders>
              <w:top w:val="nil"/>
              <w:left w:val="nil"/>
              <w:bottom w:val="single" w:color="auto" w:sz="4" w:space="0"/>
              <w:right w:val="single" w:color="auto" w:sz="4" w:space="0"/>
            </w:tcBorders>
            <w:vAlign w:val="center"/>
          </w:tcPr>
          <w:p w14:paraId="36DC13DA">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[349.2]</w:t>
            </w:r>
          </w:p>
        </w:tc>
      </w:tr>
      <w:tr w14:paraId="17DB6A74">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77AE555A">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7</w:t>
            </w:r>
            <w:r>
              <w:rPr>
                <w:rFonts w:hint="eastAsia" w:ascii="宋体" w:hAnsi="宋体"/>
                <w:color w:val="000000"/>
                <w:spacing w:val="-10"/>
                <w:kern w:val="0"/>
              </w:rPr>
              <w:t>．农牧民转移就业</w:t>
            </w:r>
            <w:r>
              <w:rPr>
                <w:rFonts w:ascii="Times New Roman" w:hAnsi="Times New Roman" w:cs="Times New Roman"/>
                <w:color w:val="000000"/>
                <w:spacing w:val="-10"/>
                <w:kern w:val="0"/>
              </w:rPr>
              <w:t>6</w:t>
            </w:r>
            <w:r>
              <w:rPr>
                <w:rFonts w:hint="eastAsia" w:ascii="宋体" w:hAnsi="宋体"/>
                <w:color w:val="000000"/>
                <w:spacing w:val="-10"/>
                <w:kern w:val="0"/>
              </w:rPr>
              <w:t>个月以上（万人次）</w:t>
            </w:r>
          </w:p>
        </w:tc>
        <w:tc>
          <w:tcPr>
            <w:tcW w:w="1418" w:type="dxa"/>
            <w:tcBorders>
              <w:top w:val="nil"/>
              <w:left w:val="nil"/>
              <w:bottom w:val="single" w:color="auto" w:sz="4" w:space="0"/>
              <w:right w:val="single" w:color="auto" w:sz="4" w:space="0"/>
            </w:tcBorders>
            <w:vAlign w:val="center"/>
          </w:tcPr>
          <w:p w14:paraId="760D4611">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[276.2]</w:t>
            </w:r>
          </w:p>
        </w:tc>
        <w:tc>
          <w:tcPr>
            <w:tcW w:w="1715" w:type="dxa"/>
            <w:tcBorders>
              <w:top w:val="single" w:color="auto" w:sz="4" w:space="0"/>
              <w:left w:val="nil"/>
              <w:bottom w:val="single" w:color="auto" w:sz="4" w:space="0"/>
              <w:right w:val="single" w:color="auto" w:sz="4" w:space="0"/>
            </w:tcBorders>
            <w:vAlign w:val="center"/>
          </w:tcPr>
          <w:p w14:paraId="7645FB6D">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[280]</w:t>
            </w:r>
          </w:p>
        </w:tc>
        <w:tc>
          <w:tcPr>
            <w:tcW w:w="1547" w:type="dxa"/>
            <w:tcBorders>
              <w:top w:val="nil"/>
              <w:left w:val="nil"/>
              <w:bottom w:val="single" w:color="auto" w:sz="4" w:space="0"/>
              <w:right w:val="single" w:color="auto" w:sz="4" w:space="0"/>
            </w:tcBorders>
            <w:vAlign w:val="center"/>
          </w:tcPr>
          <w:p w14:paraId="75CB6B2C">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[285.8]</w:t>
            </w:r>
          </w:p>
        </w:tc>
      </w:tr>
      <w:tr w14:paraId="3A342005">
        <w:tblPrEx>
          <w:tblCellMar>
            <w:top w:w="0" w:type="dxa"/>
            <w:left w:w="108" w:type="dxa"/>
            <w:bottom w:w="0" w:type="dxa"/>
            <w:right w:w="108" w:type="dxa"/>
          </w:tblCellMar>
        </w:tblPrEx>
        <w:trPr>
          <w:trHeight w:val="340" w:hRule="atLeast"/>
          <w:jc w:val="center"/>
        </w:trPr>
        <w:tc>
          <w:tcPr>
            <w:tcW w:w="8772" w:type="dxa"/>
            <w:gridSpan w:val="4"/>
            <w:tcBorders>
              <w:top w:val="single" w:color="auto" w:sz="4" w:space="0"/>
              <w:left w:val="single" w:color="auto" w:sz="4" w:space="0"/>
              <w:bottom w:val="single" w:color="auto" w:sz="4" w:space="0"/>
              <w:right w:val="single" w:color="auto" w:sz="4" w:space="0"/>
            </w:tcBorders>
            <w:vAlign w:val="center"/>
          </w:tcPr>
          <w:p w14:paraId="578F942B">
            <w:pPr>
              <w:widowControl/>
              <w:spacing w:line="480" w:lineRule="exact"/>
              <w:jc w:val="left"/>
              <w:rPr>
                <w:rFonts w:ascii="Times New Roman" w:hAnsi="Times New Roman" w:cs="Times New Roman"/>
                <w:color w:val="000000"/>
                <w:spacing w:val="-10"/>
                <w:kern w:val="0"/>
              </w:rPr>
            </w:pPr>
            <w:r>
              <w:rPr>
                <w:rFonts w:hint="eastAsia" w:ascii="黑体" w:hAnsi="黑体" w:eastAsia="黑体"/>
                <w:color w:val="000000"/>
                <w:spacing w:val="-10"/>
                <w:kern w:val="0"/>
              </w:rPr>
              <w:t>二、社会保险</w:t>
            </w:r>
          </w:p>
        </w:tc>
      </w:tr>
      <w:tr w14:paraId="4FF19A5B">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7CBD36F4">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8</w:t>
            </w:r>
            <w:r>
              <w:rPr>
                <w:rFonts w:hint="eastAsia" w:ascii="宋体" w:hAnsi="宋体"/>
                <w:color w:val="000000"/>
                <w:spacing w:val="-10"/>
                <w:kern w:val="0"/>
              </w:rPr>
              <w:t>．参加基本养老保险（万人）</w:t>
            </w:r>
          </w:p>
        </w:tc>
        <w:tc>
          <w:tcPr>
            <w:tcW w:w="1418" w:type="dxa"/>
            <w:tcBorders>
              <w:top w:val="nil"/>
              <w:left w:val="nil"/>
              <w:bottom w:val="single" w:color="auto" w:sz="4" w:space="0"/>
              <w:right w:val="single" w:color="auto" w:sz="4" w:space="0"/>
            </w:tcBorders>
            <w:vAlign w:val="center"/>
          </w:tcPr>
          <w:p w14:paraId="01F2385D">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219.7</w:t>
            </w:r>
          </w:p>
        </w:tc>
        <w:tc>
          <w:tcPr>
            <w:tcW w:w="1715" w:type="dxa"/>
            <w:tcBorders>
              <w:top w:val="nil"/>
              <w:left w:val="nil"/>
              <w:bottom w:val="single" w:color="auto" w:sz="4" w:space="0"/>
              <w:right w:val="single" w:color="auto" w:sz="4" w:space="0"/>
            </w:tcBorders>
            <w:vAlign w:val="center"/>
          </w:tcPr>
          <w:p w14:paraId="4468F5DE">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242.1</w:t>
            </w:r>
          </w:p>
        </w:tc>
        <w:tc>
          <w:tcPr>
            <w:tcW w:w="1547" w:type="dxa"/>
            <w:tcBorders>
              <w:top w:val="nil"/>
              <w:left w:val="nil"/>
              <w:bottom w:val="single" w:color="auto" w:sz="4" w:space="0"/>
              <w:right w:val="single" w:color="auto" w:sz="4" w:space="0"/>
            </w:tcBorders>
            <w:vAlign w:val="center"/>
          </w:tcPr>
          <w:p w14:paraId="09AD1454">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 xml:space="preserve"> 270.05</w:t>
            </w:r>
          </w:p>
        </w:tc>
      </w:tr>
      <w:tr w14:paraId="72428903">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02BB659C">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9</w:t>
            </w:r>
            <w:r>
              <w:rPr>
                <w:rFonts w:hint="eastAsia" w:ascii="宋体" w:hAnsi="宋体"/>
                <w:color w:val="000000"/>
                <w:spacing w:val="-10"/>
                <w:kern w:val="0"/>
              </w:rPr>
              <w:t>．失业保险参保人数（万人）</w:t>
            </w:r>
          </w:p>
        </w:tc>
        <w:tc>
          <w:tcPr>
            <w:tcW w:w="1418" w:type="dxa"/>
            <w:tcBorders>
              <w:top w:val="nil"/>
              <w:left w:val="nil"/>
              <w:bottom w:val="single" w:color="auto" w:sz="4" w:space="0"/>
              <w:right w:val="single" w:color="auto" w:sz="4" w:space="0"/>
            </w:tcBorders>
            <w:vAlign w:val="center"/>
          </w:tcPr>
          <w:p w14:paraId="6A35CF43">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26.76</w:t>
            </w:r>
          </w:p>
        </w:tc>
        <w:tc>
          <w:tcPr>
            <w:tcW w:w="1715" w:type="dxa"/>
            <w:tcBorders>
              <w:top w:val="nil"/>
              <w:left w:val="nil"/>
              <w:bottom w:val="single" w:color="auto" w:sz="4" w:space="0"/>
              <w:right w:val="single" w:color="auto" w:sz="4" w:space="0"/>
            </w:tcBorders>
            <w:vAlign w:val="center"/>
          </w:tcPr>
          <w:p w14:paraId="2D5D2305">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26.8</w:t>
            </w:r>
          </w:p>
        </w:tc>
        <w:tc>
          <w:tcPr>
            <w:tcW w:w="1547" w:type="dxa"/>
            <w:tcBorders>
              <w:top w:val="nil"/>
              <w:left w:val="nil"/>
              <w:bottom w:val="single" w:color="auto" w:sz="4" w:space="0"/>
              <w:right w:val="single" w:color="auto" w:sz="4" w:space="0"/>
            </w:tcBorders>
            <w:vAlign w:val="center"/>
          </w:tcPr>
          <w:p w14:paraId="691553F3">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 xml:space="preserve">26.86 </w:t>
            </w:r>
          </w:p>
        </w:tc>
      </w:tr>
      <w:tr w14:paraId="20DF096A">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7D8F1BF7">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10</w:t>
            </w:r>
            <w:r>
              <w:rPr>
                <w:rFonts w:hint="eastAsia" w:ascii="宋体" w:hAnsi="宋体"/>
                <w:color w:val="000000"/>
                <w:spacing w:val="-10"/>
                <w:kern w:val="0"/>
              </w:rPr>
              <w:t>．工伤保险参保人数（万人）</w:t>
            </w:r>
          </w:p>
        </w:tc>
        <w:tc>
          <w:tcPr>
            <w:tcW w:w="1418" w:type="dxa"/>
            <w:tcBorders>
              <w:top w:val="nil"/>
              <w:left w:val="nil"/>
              <w:bottom w:val="single" w:color="auto" w:sz="4" w:space="0"/>
              <w:right w:val="single" w:color="auto" w:sz="4" w:space="0"/>
            </w:tcBorders>
            <w:vAlign w:val="center"/>
          </w:tcPr>
          <w:p w14:paraId="7630D7E0">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28.42</w:t>
            </w:r>
          </w:p>
        </w:tc>
        <w:tc>
          <w:tcPr>
            <w:tcW w:w="1715" w:type="dxa"/>
            <w:tcBorders>
              <w:top w:val="nil"/>
              <w:left w:val="nil"/>
              <w:bottom w:val="single" w:color="auto" w:sz="4" w:space="0"/>
              <w:right w:val="single" w:color="auto" w:sz="4" w:space="0"/>
            </w:tcBorders>
            <w:vAlign w:val="center"/>
          </w:tcPr>
          <w:p w14:paraId="4AD6A409">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30</w:t>
            </w:r>
          </w:p>
        </w:tc>
        <w:tc>
          <w:tcPr>
            <w:tcW w:w="1547" w:type="dxa"/>
            <w:tcBorders>
              <w:top w:val="nil"/>
              <w:left w:val="nil"/>
              <w:bottom w:val="single" w:color="auto" w:sz="4" w:space="0"/>
              <w:right w:val="single" w:color="auto" w:sz="4" w:space="0"/>
            </w:tcBorders>
            <w:vAlign w:val="center"/>
          </w:tcPr>
          <w:p w14:paraId="275FCA42">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38.3</w:t>
            </w:r>
          </w:p>
        </w:tc>
      </w:tr>
      <w:tr w14:paraId="653327A9">
        <w:tblPrEx>
          <w:tblCellMar>
            <w:top w:w="0" w:type="dxa"/>
            <w:left w:w="108" w:type="dxa"/>
            <w:bottom w:w="0" w:type="dxa"/>
            <w:right w:w="108" w:type="dxa"/>
          </w:tblCellMar>
        </w:tblPrEx>
        <w:trPr>
          <w:trHeight w:val="340" w:hRule="atLeast"/>
          <w:jc w:val="center"/>
        </w:trPr>
        <w:tc>
          <w:tcPr>
            <w:tcW w:w="8772" w:type="dxa"/>
            <w:gridSpan w:val="4"/>
            <w:tcBorders>
              <w:top w:val="single" w:color="auto" w:sz="4" w:space="0"/>
              <w:left w:val="single" w:color="auto" w:sz="4" w:space="0"/>
              <w:bottom w:val="single" w:color="auto" w:sz="4" w:space="0"/>
              <w:right w:val="single" w:color="auto" w:sz="4" w:space="0"/>
            </w:tcBorders>
            <w:vAlign w:val="center"/>
          </w:tcPr>
          <w:p w14:paraId="2778ED45">
            <w:pPr>
              <w:widowControl/>
              <w:spacing w:line="480" w:lineRule="exact"/>
              <w:jc w:val="left"/>
              <w:rPr>
                <w:rFonts w:ascii="Times New Roman" w:hAnsi="Times New Roman" w:cs="Times New Roman"/>
                <w:color w:val="000000"/>
                <w:spacing w:val="-10"/>
                <w:kern w:val="0"/>
              </w:rPr>
            </w:pPr>
            <w:r>
              <w:rPr>
                <w:rFonts w:hint="eastAsia" w:ascii="黑体" w:hAnsi="黑体" w:eastAsia="黑体"/>
                <w:color w:val="000000"/>
                <w:spacing w:val="-10"/>
                <w:kern w:val="0"/>
              </w:rPr>
              <w:t>三、人才队伍建设</w:t>
            </w:r>
          </w:p>
        </w:tc>
      </w:tr>
      <w:tr w14:paraId="1D43306A">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7685760D">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11</w:t>
            </w:r>
            <w:r>
              <w:rPr>
                <w:rFonts w:hint="eastAsia" w:ascii="宋体" w:hAnsi="宋体"/>
                <w:color w:val="000000"/>
                <w:spacing w:val="-10"/>
                <w:kern w:val="0"/>
              </w:rPr>
              <w:t>．专业技术人才总量（万人）</w:t>
            </w:r>
          </w:p>
        </w:tc>
        <w:tc>
          <w:tcPr>
            <w:tcW w:w="1418" w:type="dxa"/>
            <w:tcBorders>
              <w:top w:val="nil"/>
              <w:left w:val="nil"/>
              <w:bottom w:val="single" w:color="auto" w:sz="4" w:space="0"/>
              <w:right w:val="single" w:color="auto" w:sz="4" w:space="0"/>
            </w:tcBorders>
            <w:vAlign w:val="center"/>
          </w:tcPr>
          <w:p w14:paraId="790ED3FE">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12</w:t>
            </w:r>
          </w:p>
        </w:tc>
        <w:tc>
          <w:tcPr>
            <w:tcW w:w="1715" w:type="dxa"/>
            <w:tcBorders>
              <w:top w:val="nil"/>
              <w:left w:val="nil"/>
              <w:bottom w:val="single" w:color="auto" w:sz="4" w:space="0"/>
              <w:right w:val="single" w:color="auto" w:sz="4" w:space="0"/>
            </w:tcBorders>
            <w:vAlign w:val="center"/>
          </w:tcPr>
          <w:p w14:paraId="48E7C078">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13.5</w:t>
            </w:r>
          </w:p>
        </w:tc>
        <w:tc>
          <w:tcPr>
            <w:tcW w:w="1547" w:type="dxa"/>
            <w:tcBorders>
              <w:top w:val="nil"/>
              <w:left w:val="nil"/>
              <w:bottom w:val="single" w:color="auto" w:sz="4" w:space="0"/>
              <w:right w:val="single" w:color="auto" w:sz="4" w:space="0"/>
            </w:tcBorders>
            <w:vAlign w:val="center"/>
          </w:tcPr>
          <w:p w14:paraId="7DCF858B">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15</w:t>
            </w:r>
          </w:p>
        </w:tc>
      </w:tr>
      <w:tr w14:paraId="55405E14">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35A5235B">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12</w:t>
            </w:r>
            <w:r>
              <w:rPr>
                <w:rFonts w:hint="eastAsia" w:ascii="宋体" w:hAnsi="宋体"/>
                <w:color w:val="000000"/>
                <w:spacing w:val="-10"/>
                <w:kern w:val="0"/>
              </w:rPr>
              <w:t>．高、中、初级专业技术人才比例（</w:t>
            </w:r>
            <w:r>
              <w:rPr>
                <w:rFonts w:ascii="Times New Roman" w:hAnsi="Times New Roman" w:cs="Times New Roman"/>
                <w:color w:val="000000"/>
                <w:spacing w:val="-10"/>
                <w:kern w:val="0"/>
              </w:rPr>
              <w:t>%</w:t>
            </w:r>
            <w:r>
              <w:rPr>
                <w:rFonts w:hint="eastAsia" w:ascii="宋体" w:hAnsi="宋体"/>
                <w:color w:val="000000"/>
                <w:spacing w:val="-10"/>
                <w:kern w:val="0"/>
              </w:rPr>
              <w:t>）</w:t>
            </w:r>
          </w:p>
        </w:tc>
        <w:tc>
          <w:tcPr>
            <w:tcW w:w="1418" w:type="dxa"/>
            <w:tcBorders>
              <w:top w:val="nil"/>
              <w:left w:val="nil"/>
              <w:bottom w:val="single" w:color="auto" w:sz="4" w:space="0"/>
              <w:right w:val="single" w:color="auto" w:sz="4" w:space="0"/>
            </w:tcBorders>
            <w:vAlign w:val="center"/>
          </w:tcPr>
          <w:p w14:paraId="1B4A3387">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19:42:39</w:t>
            </w:r>
          </w:p>
        </w:tc>
        <w:tc>
          <w:tcPr>
            <w:tcW w:w="1715" w:type="dxa"/>
            <w:tcBorders>
              <w:top w:val="nil"/>
              <w:left w:val="nil"/>
              <w:bottom w:val="single" w:color="auto" w:sz="4" w:space="0"/>
              <w:right w:val="single" w:color="auto" w:sz="4" w:space="0"/>
            </w:tcBorders>
            <w:vAlign w:val="center"/>
          </w:tcPr>
          <w:p w14:paraId="08A770E0">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19:42:39</w:t>
            </w:r>
          </w:p>
        </w:tc>
        <w:tc>
          <w:tcPr>
            <w:tcW w:w="1547" w:type="dxa"/>
            <w:tcBorders>
              <w:top w:val="nil"/>
              <w:left w:val="nil"/>
              <w:bottom w:val="single" w:color="auto" w:sz="4" w:space="0"/>
              <w:right w:val="single" w:color="auto" w:sz="4" w:space="0"/>
            </w:tcBorders>
            <w:vAlign w:val="center"/>
          </w:tcPr>
          <w:p w14:paraId="1AA20902">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19:42:39</w:t>
            </w:r>
          </w:p>
        </w:tc>
      </w:tr>
      <w:tr w14:paraId="1EA4FB29">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216602A1">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13</w:t>
            </w:r>
            <w:r>
              <w:rPr>
                <w:rFonts w:hint="eastAsia" w:ascii="宋体" w:hAnsi="宋体"/>
                <w:color w:val="000000"/>
                <w:spacing w:val="-10"/>
                <w:kern w:val="0"/>
              </w:rPr>
              <w:t>．高技能人才人数（万人）</w:t>
            </w:r>
          </w:p>
        </w:tc>
        <w:tc>
          <w:tcPr>
            <w:tcW w:w="1418" w:type="dxa"/>
            <w:tcBorders>
              <w:top w:val="nil"/>
              <w:left w:val="nil"/>
              <w:bottom w:val="single" w:color="auto" w:sz="4" w:space="0"/>
              <w:right w:val="single" w:color="auto" w:sz="4" w:space="0"/>
            </w:tcBorders>
            <w:vAlign w:val="center"/>
          </w:tcPr>
          <w:p w14:paraId="617F9A67">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5.1</w:t>
            </w:r>
          </w:p>
        </w:tc>
        <w:tc>
          <w:tcPr>
            <w:tcW w:w="1715" w:type="dxa"/>
            <w:tcBorders>
              <w:top w:val="nil"/>
              <w:left w:val="nil"/>
              <w:bottom w:val="single" w:color="auto" w:sz="4" w:space="0"/>
              <w:right w:val="single" w:color="auto" w:sz="4" w:space="0"/>
            </w:tcBorders>
            <w:vAlign w:val="center"/>
          </w:tcPr>
          <w:p w14:paraId="775338EE">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[1.5]</w:t>
            </w:r>
          </w:p>
        </w:tc>
        <w:tc>
          <w:tcPr>
            <w:tcW w:w="1547" w:type="dxa"/>
            <w:tcBorders>
              <w:top w:val="nil"/>
              <w:left w:val="nil"/>
              <w:bottom w:val="single" w:color="auto" w:sz="4" w:space="0"/>
              <w:right w:val="single" w:color="auto" w:sz="4" w:space="0"/>
            </w:tcBorders>
            <w:vAlign w:val="center"/>
          </w:tcPr>
          <w:p w14:paraId="4EBC08A8">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[1.5]</w:t>
            </w:r>
          </w:p>
        </w:tc>
      </w:tr>
      <w:tr w14:paraId="622B9308">
        <w:tblPrEx>
          <w:tblCellMar>
            <w:top w:w="0" w:type="dxa"/>
            <w:left w:w="108" w:type="dxa"/>
            <w:bottom w:w="0" w:type="dxa"/>
            <w:right w:w="108" w:type="dxa"/>
          </w:tblCellMar>
        </w:tblPrEx>
        <w:trPr>
          <w:trHeight w:val="340" w:hRule="atLeast"/>
          <w:jc w:val="center"/>
        </w:trPr>
        <w:tc>
          <w:tcPr>
            <w:tcW w:w="8772" w:type="dxa"/>
            <w:gridSpan w:val="4"/>
            <w:tcBorders>
              <w:top w:val="single" w:color="auto" w:sz="4" w:space="0"/>
              <w:left w:val="single" w:color="auto" w:sz="4" w:space="0"/>
              <w:bottom w:val="single" w:color="auto" w:sz="4" w:space="0"/>
              <w:right w:val="single" w:color="auto" w:sz="4" w:space="0"/>
            </w:tcBorders>
            <w:vAlign w:val="center"/>
          </w:tcPr>
          <w:p w14:paraId="3A441D7A">
            <w:pPr>
              <w:widowControl/>
              <w:spacing w:line="480" w:lineRule="exact"/>
              <w:jc w:val="left"/>
              <w:rPr>
                <w:rFonts w:ascii="Times New Roman" w:hAnsi="Times New Roman" w:cs="Times New Roman"/>
                <w:color w:val="000000"/>
                <w:spacing w:val="-10"/>
                <w:kern w:val="0"/>
              </w:rPr>
            </w:pPr>
            <w:r>
              <w:rPr>
                <w:rFonts w:hint="eastAsia" w:ascii="黑体" w:hAnsi="黑体" w:eastAsia="黑体"/>
                <w:color w:val="000000"/>
                <w:spacing w:val="-10"/>
                <w:kern w:val="0"/>
              </w:rPr>
              <w:t>四、劳动关系</w:t>
            </w:r>
          </w:p>
        </w:tc>
      </w:tr>
      <w:tr w14:paraId="7FBF1DD3">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3CB47F36">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14</w:t>
            </w:r>
            <w:r>
              <w:rPr>
                <w:rFonts w:hint="eastAsia" w:ascii="宋体" w:hAnsi="宋体"/>
                <w:color w:val="000000"/>
                <w:spacing w:val="-10"/>
                <w:kern w:val="0"/>
              </w:rPr>
              <w:t>．企业劳动合同签订率（</w:t>
            </w:r>
            <w:r>
              <w:rPr>
                <w:rFonts w:ascii="Times New Roman" w:hAnsi="Times New Roman" w:cs="Times New Roman"/>
                <w:color w:val="000000"/>
                <w:spacing w:val="-10"/>
                <w:kern w:val="0"/>
              </w:rPr>
              <w:t>%</w:t>
            </w:r>
            <w:r>
              <w:rPr>
                <w:rFonts w:hint="eastAsia" w:ascii="宋体" w:hAnsi="宋体"/>
                <w:color w:val="000000"/>
                <w:spacing w:val="-10"/>
                <w:kern w:val="0"/>
              </w:rPr>
              <w:t>）</w:t>
            </w:r>
          </w:p>
        </w:tc>
        <w:tc>
          <w:tcPr>
            <w:tcW w:w="1418" w:type="dxa"/>
            <w:tcBorders>
              <w:top w:val="nil"/>
              <w:left w:val="nil"/>
              <w:bottom w:val="single" w:color="auto" w:sz="4" w:space="0"/>
              <w:right w:val="single" w:color="auto" w:sz="4" w:space="0"/>
            </w:tcBorders>
            <w:vAlign w:val="center"/>
          </w:tcPr>
          <w:p w14:paraId="73810445">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97.4</w:t>
            </w:r>
          </w:p>
        </w:tc>
        <w:tc>
          <w:tcPr>
            <w:tcW w:w="1715" w:type="dxa"/>
            <w:tcBorders>
              <w:top w:val="nil"/>
              <w:left w:val="nil"/>
              <w:bottom w:val="single" w:color="auto" w:sz="4" w:space="0"/>
              <w:right w:val="single" w:color="auto" w:sz="4" w:space="0"/>
            </w:tcBorders>
            <w:vAlign w:val="center"/>
          </w:tcPr>
          <w:p w14:paraId="378DBA1C">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97</w:t>
            </w:r>
          </w:p>
        </w:tc>
        <w:tc>
          <w:tcPr>
            <w:tcW w:w="1547" w:type="dxa"/>
            <w:tcBorders>
              <w:top w:val="nil"/>
              <w:left w:val="nil"/>
              <w:bottom w:val="single" w:color="auto" w:sz="4" w:space="0"/>
              <w:right w:val="single" w:color="auto" w:sz="4" w:space="0"/>
            </w:tcBorders>
            <w:vAlign w:val="center"/>
          </w:tcPr>
          <w:p w14:paraId="5329A581">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 xml:space="preserve"> 98</w:t>
            </w:r>
          </w:p>
        </w:tc>
      </w:tr>
      <w:tr w14:paraId="2E3C4630">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61E8314B">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15</w:t>
            </w:r>
            <w:r>
              <w:rPr>
                <w:rFonts w:hint="eastAsia" w:ascii="宋体" w:hAnsi="宋体"/>
                <w:color w:val="000000"/>
                <w:spacing w:val="-10"/>
                <w:kern w:val="0"/>
              </w:rPr>
              <w:t>．劳动人事争议调解成功率（</w:t>
            </w:r>
            <w:r>
              <w:rPr>
                <w:rFonts w:ascii="Times New Roman" w:hAnsi="Times New Roman" w:cs="Times New Roman"/>
                <w:color w:val="000000"/>
                <w:spacing w:val="-10"/>
                <w:kern w:val="0"/>
              </w:rPr>
              <w:t>%</w:t>
            </w:r>
            <w:r>
              <w:rPr>
                <w:rFonts w:hint="eastAsia" w:ascii="宋体" w:hAnsi="宋体"/>
                <w:color w:val="000000"/>
                <w:spacing w:val="-10"/>
                <w:kern w:val="0"/>
              </w:rPr>
              <w:t>）</w:t>
            </w:r>
          </w:p>
        </w:tc>
        <w:tc>
          <w:tcPr>
            <w:tcW w:w="1418" w:type="dxa"/>
            <w:tcBorders>
              <w:top w:val="single" w:color="auto" w:sz="4" w:space="0"/>
              <w:left w:val="nil"/>
              <w:bottom w:val="single" w:color="auto" w:sz="4" w:space="0"/>
              <w:right w:val="single" w:color="auto" w:sz="4" w:space="0"/>
            </w:tcBorders>
            <w:vAlign w:val="center"/>
          </w:tcPr>
          <w:p w14:paraId="23B7FE03">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60.33</w:t>
            </w:r>
          </w:p>
        </w:tc>
        <w:tc>
          <w:tcPr>
            <w:tcW w:w="1715" w:type="dxa"/>
            <w:tcBorders>
              <w:top w:val="single" w:color="auto" w:sz="4" w:space="0"/>
              <w:left w:val="nil"/>
              <w:bottom w:val="single" w:color="auto" w:sz="4" w:space="0"/>
              <w:right w:val="single" w:color="auto" w:sz="4" w:space="0"/>
            </w:tcBorders>
            <w:vAlign w:val="center"/>
          </w:tcPr>
          <w:p w14:paraId="649884EA">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60</w:t>
            </w:r>
          </w:p>
        </w:tc>
        <w:tc>
          <w:tcPr>
            <w:tcW w:w="1547" w:type="dxa"/>
            <w:tcBorders>
              <w:top w:val="single" w:color="auto" w:sz="4" w:space="0"/>
              <w:left w:val="nil"/>
              <w:bottom w:val="single" w:color="auto" w:sz="4" w:space="0"/>
              <w:right w:val="single" w:color="auto" w:sz="4" w:space="0"/>
            </w:tcBorders>
            <w:vAlign w:val="center"/>
          </w:tcPr>
          <w:p w14:paraId="4A2FFE51">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 xml:space="preserve"> 62.77 </w:t>
            </w:r>
          </w:p>
        </w:tc>
      </w:tr>
      <w:tr w14:paraId="705B3C40">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595D7454">
            <w:pPr>
              <w:widowControl/>
              <w:spacing w:line="32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16</w:t>
            </w:r>
            <w:r>
              <w:rPr>
                <w:rFonts w:hint="eastAsia" w:ascii="宋体" w:hAnsi="宋体"/>
                <w:color w:val="000000"/>
                <w:spacing w:val="-10"/>
                <w:kern w:val="0"/>
              </w:rPr>
              <w:t>．劳动保障监察举报投诉案件结案率（</w:t>
            </w:r>
            <w:r>
              <w:rPr>
                <w:rFonts w:ascii="Times New Roman" w:hAnsi="Times New Roman" w:cs="Times New Roman"/>
                <w:color w:val="000000"/>
                <w:spacing w:val="-10"/>
                <w:kern w:val="0"/>
              </w:rPr>
              <w:t>%</w:t>
            </w:r>
            <w:r>
              <w:rPr>
                <w:rFonts w:hint="eastAsia" w:ascii="宋体" w:hAnsi="宋体"/>
                <w:color w:val="000000"/>
                <w:spacing w:val="-10"/>
                <w:kern w:val="0"/>
              </w:rPr>
              <w:t>）</w:t>
            </w:r>
          </w:p>
        </w:tc>
        <w:tc>
          <w:tcPr>
            <w:tcW w:w="1418" w:type="dxa"/>
            <w:tcBorders>
              <w:top w:val="nil"/>
              <w:left w:val="nil"/>
              <w:bottom w:val="single" w:color="auto" w:sz="4" w:space="0"/>
              <w:right w:val="single" w:color="auto" w:sz="4" w:space="0"/>
            </w:tcBorders>
            <w:vAlign w:val="center"/>
          </w:tcPr>
          <w:p w14:paraId="7144B2FF">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98</w:t>
            </w:r>
          </w:p>
        </w:tc>
        <w:tc>
          <w:tcPr>
            <w:tcW w:w="1715" w:type="dxa"/>
            <w:tcBorders>
              <w:top w:val="nil"/>
              <w:left w:val="nil"/>
              <w:bottom w:val="single" w:color="auto" w:sz="4" w:space="0"/>
              <w:right w:val="single" w:color="auto" w:sz="4" w:space="0"/>
            </w:tcBorders>
            <w:vAlign w:val="center"/>
          </w:tcPr>
          <w:p w14:paraId="7393E3D5">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100</w:t>
            </w:r>
          </w:p>
        </w:tc>
        <w:tc>
          <w:tcPr>
            <w:tcW w:w="1547" w:type="dxa"/>
            <w:tcBorders>
              <w:top w:val="nil"/>
              <w:left w:val="nil"/>
              <w:bottom w:val="single" w:color="auto" w:sz="4" w:space="0"/>
              <w:right w:val="single" w:color="auto" w:sz="4" w:space="0"/>
            </w:tcBorders>
            <w:vAlign w:val="center"/>
          </w:tcPr>
          <w:p w14:paraId="0B9864AF">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 xml:space="preserve">100 </w:t>
            </w:r>
          </w:p>
        </w:tc>
      </w:tr>
      <w:tr w14:paraId="2499C03B">
        <w:tblPrEx>
          <w:tblCellMar>
            <w:top w:w="0" w:type="dxa"/>
            <w:left w:w="108" w:type="dxa"/>
            <w:bottom w:w="0" w:type="dxa"/>
            <w:right w:w="108" w:type="dxa"/>
          </w:tblCellMar>
        </w:tblPrEx>
        <w:trPr>
          <w:trHeight w:val="43" w:hRule="atLeast"/>
          <w:jc w:val="center"/>
        </w:trPr>
        <w:tc>
          <w:tcPr>
            <w:tcW w:w="8772" w:type="dxa"/>
            <w:gridSpan w:val="4"/>
            <w:tcBorders>
              <w:top w:val="single" w:color="auto" w:sz="4" w:space="0"/>
              <w:left w:val="single" w:color="auto" w:sz="4" w:space="0"/>
              <w:bottom w:val="single" w:color="auto" w:sz="4" w:space="0"/>
              <w:right w:val="single" w:color="auto" w:sz="4" w:space="0"/>
            </w:tcBorders>
            <w:vAlign w:val="center"/>
          </w:tcPr>
          <w:p w14:paraId="772369AB">
            <w:pPr>
              <w:widowControl/>
              <w:spacing w:line="480" w:lineRule="exact"/>
              <w:jc w:val="left"/>
              <w:rPr>
                <w:rFonts w:ascii="Times New Roman" w:hAnsi="Times New Roman" w:cs="Times New Roman"/>
                <w:color w:val="000000"/>
                <w:spacing w:val="-10"/>
                <w:kern w:val="0"/>
              </w:rPr>
            </w:pPr>
            <w:r>
              <w:rPr>
                <w:rFonts w:hint="eastAsia" w:ascii="黑体" w:hAnsi="黑体" w:eastAsia="黑体"/>
                <w:color w:val="000000"/>
                <w:spacing w:val="-10"/>
                <w:kern w:val="0"/>
              </w:rPr>
              <w:t>五、公共服务</w:t>
            </w:r>
          </w:p>
        </w:tc>
      </w:tr>
      <w:tr w14:paraId="2981A894">
        <w:tblPrEx>
          <w:tblCellMar>
            <w:top w:w="0" w:type="dxa"/>
            <w:left w:w="108" w:type="dxa"/>
            <w:bottom w:w="0" w:type="dxa"/>
            <w:right w:w="108" w:type="dxa"/>
          </w:tblCellMar>
        </w:tblPrEx>
        <w:trPr>
          <w:trHeight w:val="340" w:hRule="atLeast"/>
          <w:jc w:val="center"/>
        </w:trPr>
        <w:tc>
          <w:tcPr>
            <w:tcW w:w="4092" w:type="dxa"/>
            <w:tcBorders>
              <w:top w:val="single" w:color="auto" w:sz="4" w:space="0"/>
              <w:left w:val="single" w:color="auto" w:sz="4" w:space="0"/>
              <w:bottom w:val="single" w:color="auto" w:sz="4" w:space="0"/>
              <w:right w:val="single" w:color="auto" w:sz="4" w:space="0"/>
            </w:tcBorders>
            <w:vAlign w:val="center"/>
          </w:tcPr>
          <w:p w14:paraId="39705BB2">
            <w:pPr>
              <w:widowControl/>
              <w:spacing w:line="480" w:lineRule="exact"/>
              <w:jc w:val="left"/>
              <w:rPr>
                <w:rFonts w:ascii="Times New Roman" w:hAnsi="Times New Roman" w:cs="Times New Roman"/>
                <w:color w:val="000000"/>
                <w:spacing w:val="-10"/>
                <w:kern w:val="0"/>
              </w:rPr>
            </w:pPr>
            <w:r>
              <w:rPr>
                <w:rFonts w:ascii="Times New Roman" w:hAnsi="Times New Roman" w:cs="Times New Roman"/>
                <w:color w:val="000000"/>
                <w:spacing w:val="-10"/>
                <w:kern w:val="0"/>
              </w:rPr>
              <w:t>17</w:t>
            </w:r>
            <w:r>
              <w:rPr>
                <w:rFonts w:hint="eastAsia" w:ascii="宋体" w:hAnsi="宋体"/>
                <w:color w:val="000000"/>
                <w:spacing w:val="-10"/>
                <w:kern w:val="0"/>
              </w:rPr>
              <w:t>．社会保障卡持卡人口覆盖率（</w:t>
            </w:r>
            <w:r>
              <w:rPr>
                <w:rFonts w:ascii="Times New Roman" w:hAnsi="Times New Roman" w:cs="Times New Roman"/>
                <w:color w:val="000000"/>
                <w:spacing w:val="-10"/>
                <w:kern w:val="0"/>
              </w:rPr>
              <w:t>%</w:t>
            </w:r>
            <w:r>
              <w:rPr>
                <w:rFonts w:hint="eastAsia" w:ascii="宋体" w:hAnsi="宋体"/>
                <w:color w:val="000000"/>
                <w:spacing w:val="-10"/>
                <w:kern w:val="0"/>
              </w:rPr>
              <w:t>）</w:t>
            </w:r>
          </w:p>
        </w:tc>
        <w:tc>
          <w:tcPr>
            <w:tcW w:w="1418" w:type="dxa"/>
            <w:tcBorders>
              <w:top w:val="nil"/>
              <w:left w:val="nil"/>
              <w:bottom w:val="single" w:color="auto" w:sz="4" w:space="0"/>
              <w:right w:val="single" w:color="auto" w:sz="4" w:space="0"/>
            </w:tcBorders>
            <w:vAlign w:val="center"/>
          </w:tcPr>
          <w:p w14:paraId="267A8159">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40.5</w:t>
            </w:r>
          </w:p>
        </w:tc>
        <w:tc>
          <w:tcPr>
            <w:tcW w:w="1715" w:type="dxa"/>
            <w:tcBorders>
              <w:top w:val="nil"/>
              <w:left w:val="nil"/>
              <w:bottom w:val="single" w:color="auto" w:sz="4" w:space="0"/>
              <w:right w:val="single" w:color="auto" w:sz="4" w:space="0"/>
            </w:tcBorders>
            <w:vAlign w:val="center"/>
          </w:tcPr>
          <w:p w14:paraId="44C10A53">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85</w:t>
            </w:r>
          </w:p>
        </w:tc>
        <w:tc>
          <w:tcPr>
            <w:tcW w:w="1547" w:type="dxa"/>
            <w:tcBorders>
              <w:top w:val="nil"/>
              <w:left w:val="nil"/>
              <w:bottom w:val="single" w:color="auto" w:sz="4" w:space="0"/>
              <w:right w:val="single" w:color="auto" w:sz="4" w:space="0"/>
            </w:tcBorders>
            <w:vAlign w:val="center"/>
          </w:tcPr>
          <w:p w14:paraId="3CB5E792">
            <w:pPr>
              <w:widowControl/>
              <w:spacing w:line="48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95.35</w:t>
            </w:r>
          </w:p>
        </w:tc>
      </w:tr>
    </w:tbl>
    <w:p w14:paraId="6E2CF5C0">
      <w:pPr>
        <w:spacing w:line="560" w:lineRule="exact"/>
        <w:rPr>
          <w:rFonts w:ascii="仿宋_GB2312" w:hAnsi="仿宋_GB2312"/>
          <w:sz w:val="28"/>
          <w:szCs w:val="28"/>
        </w:rPr>
      </w:pPr>
      <w:r>
        <w:rPr>
          <w:rFonts w:ascii="仿宋_GB2312" w:hAnsi="仿宋_GB2312"/>
          <w:sz w:val="28"/>
          <w:szCs w:val="28"/>
        </w:rPr>
        <w:t xml:space="preserve">    注：[]内为五年累计数</w:t>
      </w:r>
    </w:p>
    <w:p w14:paraId="4DDCCB99">
      <w:pPr>
        <w:pStyle w:val="3"/>
        <w:rPr>
          <w:rFonts w:ascii="楷体_GB2312"/>
        </w:rPr>
      </w:pPr>
      <w:r>
        <w:rPr>
          <w:rFonts w:ascii="楷体_GB2312" w:hAnsi="楷体_GB2312"/>
        </w:rPr>
        <w:t>第二节</w:t>
      </w:r>
      <w:r>
        <w:rPr>
          <w:rFonts w:ascii="楷体_GB2312"/>
        </w:rPr>
        <w:t xml:space="preserve"> </w:t>
      </w:r>
      <w:r>
        <w:rPr>
          <w:rFonts w:ascii="楷体_GB2312" w:hAnsi="楷体_GB2312"/>
        </w:rPr>
        <w:t>面临的形势</w:t>
      </w:r>
    </w:p>
    <w:p w14:paraId="2A7B885F">
      <w:pPr>
        <w:spacing w:line="560" w:lineRule="exact"/>
        <w:ind w:firstLine="720"/>
        <w:rPr>
          <w:rFonts w:ascii="仿宋_GB2312" w:hAnsi="仿宋_GB2312"/>
          <w:sz w:val="32"/>
          <w:szCs w:val="32"/>
        </w:rPr>
      </w:pPr>
      <w:r>
        <w:rPr>
          <w:rFonts w:ascii="仿宋_GB2312" w:hAnsi="仿宋_GB2312"/>
          <w:sz w:val="32"/>
          <w:szCs w:val="32"/>
        </w:rPr>
        <w:t>“十四五”时期，是开启社会主义现代化建设新征程的第一个五年。经过多年努力，全市经济社会发展基础日趋雄厚，发展前景愈加广阔，特别是围绕“五个定位”和“双子星座”发展要求，全力建设“六个赤峰”，为全市人力资源和社会保障事业发展指明了方向，融入和服务新发展格局既是人力资源和社会保障事业面对的重大课题，也是必须牢牢把握的机遇。改造提升传统产业、培育壮大新兴产业、推动产业园区提档升级为扩大就业空间、改善就业结构、拓宽就业渠道提供了新潜力；全面推进乡村振兴战略，实施乡村建设行动为实现全民参保提供了新引擎；人才发展体制机制改革持续深化，创新型城市加快建设，出台更加宽松、优惠的人才引进政策为壮大人才力量、激发人才活力提供了新契机；产城融合战略加速实施，蒙东中心城市辐射带动能力不断提升为人力资源开发提供了新途径；健全社会诚信体系，为构建和谐劳动关系提供了新支撑；完善工资制度，加大再分配调节力度和精准性，为深化收入分配制度改革提供了新举措；打造一流营商环境，塑造全面开放格局为创新人社公共服务发展提供了新空间。市委、市政府高度重视人力资源和社会保障事业发展，将就业创业、社会保障、人事人才工作摆在经济社会发展的突出位置，既为全市人力资源和社会保障事业发展提供了根本保证，也为服务全市发展大局提供了切入点和落脚点。</w:t>
      </w:r>
    </w:p>
    <w:p w14:paraId="602B6B8B">
      <w:pPr>
        <w:spacing w:line="560" w:lineRule="exact"/>
        <w:ind w:firstLine="720"/>
        <w:rPr>
          <w:rFonts w:ascii="仿宋_GB2312" w:hAnsi="仿宋_GB2312"/>
          <w:sz w:val="32"/>
          <w:szCs w:val="32"/>
        </w:rPr>
      </w:pPr>
      <w:r>
        <w:rPr>
          <w:rFonts w:ascii="仿宋_GB2312" w:hAnsi="仿宋_GB2312"/>
          <w:sz w:val="32"/>
          <w:szCs w:val="32"/>
        </w:rPr>
        <w:t>当前，全市人力资源和社会保障工作中不平衡不充分的问题还很突出。从就业规模来看，就业总量压力依然存在，劳动者素质与岗位需求契合度不高，就业结构性矛盾更加突出。从保障质量来看，社会保障体系还不够健全，实现社会保险全覆盖的任务依然艰巨，社保基金可持续存在一定的风险和隐患。从人才供给来看，人才总量占总人口的比重远低于发达地区水平，人才与产业未形成良性互动，重点领域、重点产业高层次人才稀缺，尤其是复合型人才、拔尖人才、领军人才凤毛麟角，技能人才不足，人力资源市场开放水平不高、集聚效应不明显。从治理效能来看，劳动关系领域矛盾呈现新特点新变化，构建和谐劳动关系的任务艰巨繁重；知识、技能等要素按贡献参与分配的制度不健全。从营商环境来看，人社领域公共服务不够便捷高效，基层公共服务手段信息化程度不高。</w:t>
      </w:r>
    </w:p>
    <w:p w14:paraId="7CC994D3">
      <w:pPr>
        <w:pStyle w:val="3"/>
        <w:rPr>
          <w:rFonts w:ascii="楷体_GB2312"/>
          <w:b/>
        </w:rPr>
      </w:pPr>
      <w:r>
        <w:rPr>
          <w:rFonts w:ascii="楷体_GB2312" w:hAnsi="楷体_GB2312"/>
          <w:b/>
        </w:rPr>
        <w:t>第三节</w:t>
      </w:r>
      <w:r>
        <w:rPr>
          <w:rFonts w:ascii="楷体_GB2312"/>
          <w:b/>
        </w:rPr>
        <w:t xml:space="preserve"> </w:t>
      </w:r>
      <w:r>
        <w:rPr>
          <w:rFonts w:ascii="楷体_GB2312" w:hAnsi="楷体_GB2312"/>
          <w:b/>
        </w:rPr>
        <w:t>指导思想和基本原则</w:t>
      </w:r>
    </w:p>
    <w:p w14:paraId="5C5F60FB">
      <w:pPr>
        <w:spacing w:line="560" w:lineRule="exact"/>
        <w:ind w:firstLine="660"/>
        <w:rPr>
          <w:rFonts w:ascii="仿宋_GB2312" w:hAnsi="仿宋_GB2312"/>
          <w:sz w:val="32"/>
          <w:szCs w:val="32"/>
        </w:rPr>
      </w:pPr>
      <w:r>
        <w:rPr>
          <w:rFonts w:ascii="仿宋_GB2312" w:hAnsi="仿宋_GB2312"/>
          <w:sz w:val="32"/>
          <w:szCs w:val="32"/>
        </w:rPr>
        <w:t>“十四五”时期，全市人力资源和社会保障工作的指导思想是：坚持以习近平新时代中国特色社会主义思想为指导，深入贯彻</w:t>
      </w:r>
      <w:r>
        <w:rPr>
          <w:rFonts w:hint="eastAsia" w:ascii="仿宋_GB2312" w:hAnsi="仿宋_GB2312"/>
          <w:sz w:val="32"/>
          <w:szCs w:val="32"/>
        </w:rPr>
        <w:t>党的十九大和十九届历次全会</w:t>
      </w:r>
      <w:r>
        <w:rPr>
          <w:rFonts w:ascii="仿宋_GB2312" w:hAnsi="仿宋_GB2312"/>
          <w:sz w:val="32"/>
          <w:szCs w:val="32"/>
        </w:rPr>
        <w:t>精神，立足新发展阶段，全面落实习近平总书记关于内蒙古工作重要讲话重要指示批示精神，坚持以人民为中心的发展思想，坚定不移贯彻新发展理念，坚持稳中求进工作总基调，</w:t>
      </w:r>
      <w:r>
        <w:rPr>
          <w:rFonts w:ascii="仿宋_GB2312" w:hAnsi="仿宋_GB2312"/>
          <w:color w:val="000000"/>
          <w:sz w:val="32"/>
          <w:szCs w:val="32"/>
        </w:rPr>
        <w:t>围绕“五个定位”、“双子星座”发展要求和“六个赤峰”发展目标，</w:t>
      </w:r>
      <w:r>
        <w:rPr>
          <w:rFonts w:ascii="仿宋_GB2312" w:hAnsi="仿宋_GB2312"/>
          <w:sz w:val="32"/>
          <w:szCs w:val="32"/>
        </w:rPr>
        <w:t>推动实现更加充分更高质量就业，健全覆盖全民、统筹城乡、公平统一、可持续的多层次社会保障体系，充分激发各类人才活力，构建和谐稳定的劳动关系，防范和化解风险矛盾，提升公共服务能力，为赤峰跨越崛起贡献力量。</w:t>
      </w:r>
    </w:p>
    <w:p w14:paraId="5218609D">
      <w:pPr>
        <w:spacing w:line="560" w:lineRule="exact"/>
        <w:ind w:firstLine="640" w:firstLineChars="200"/>
        <w:rPr>
          <w:rFonts w:ascii="仿宋_GB2312" w:hAnsi="仿宋_GB2312"/>
          <w:sz w:val="32"/>
          <w:szCs w:val="32"/>
        </w:rPr>
      </w:pPr>
      <w:r>
        <w:rPr>
          <w:rFonts w:ascii="仿宋_GB2312" w:hAnsi="仿宋_GB2312"/>
          <w:sz w:val="32"/>
          <w:szCs w:val="32"/>
        </w:rPr>
        <w:t>按照上述指导思想，必须遵循以下原则：</w:t>
      </w:r>
    </w:p>
    <w:p w14:paraId="0C3F424D">
      <w:pPr>
        <w:spacing w:line="560" w:lineRule="exact"/>
        <w:ind w:firstLine="643" w:firstLineChars="200"/>
        <w:rPr>
          <w:rFonts w:ascii="仿宋_GB2312" w:hAnsi="仿宋_GB2312"/>
          <w:sz w:val="32"/>
          <w:szCs w:val="32"/>
        </w:rPr>
      </w:pPr>
      <w:r>
        <w:rPr>
          <w:rFonts w:ascii="仿宋_GB2312" w:hAnsi="仿宋_GB2312"/>
          <w:b/>
          <w:sz w:val="32"/>
          <w:szCs w:val="32"/>
        </w:rPr>
        <w:t>坚持服务大局，打造“服务人社”。</w:t>
      </w:r>
      <w:r>
        <w:rPr>
          <w:rFonts w:ascii="仿宋_GB2312" w:hAnsi="仿宋_GB2312"/>
          <w:sz w:val="32"/>
          <w:szCs w:val="32"/>
        </w:rPr>
        <w:t>自觉服从和服务于市委、市政府中心工作和改革发展稳定大局，紧紧围绕全市现代化建设，紧密结合人力资源和社会保障工作实际，有效完成各项任务，充分发挥人力资源和社会保障“稳定器”作用。</w:t>
      </w:r>
    </w:p>
    <w:p w14:paraId="71DF4096">
      <w:pPr>
        <w:spacing w:line="560" w:lineRule="exact"/>
        <w:ind w:firstLine="643" w:firstLineChars="200"/>
        <w:rPr>
          <w:rFonts w:ascii="仿宋_GB2312" w:hAnsi="仿宋_GB2312"/>
          <w:sz w:val="32"/>
          <w:szCs w:val="32"/>
        </w:rPr>
      </w:pPr>
      <w:r>
        <w:rPr>
          <w:rFonts w:ascii="仿宋_GB2312" w:hAnsi="仿宋_GB2312"/>
          <w:b/>
          <w:sz w:val="32"/>
          <w:szCs w:val="32"/>
        </w:rPr>
        <w:t>坚持以人为本，打造“民心人社”。</w:t>
      </w:r>
      <w:r>
        <w:rPr>
          <w:rFonts w:ascii="仿宋_GB2312" w:hAnsi="仿宋_GB2312"/>
          <w:sz w:val="32"/>
          <w:szCs w:val="32"/>
        </w:rPr>
        <w:t>坚持“人社服务为人民”，紧紧抓住群众最关心最直接最现实的就业创业、社会保障、技能提升、收入分配、权益保障等问题，守住兜牢民生底线，让群众有更稳定的工作、更可靠的社保、更满意的收入，不断强化民生建设，不断增进人民福祉，不断凝聚民心民力。</w:t>
      </w:r>
    </w:p>
    <w:p w14:paraId="1CBDB8AD">
      <w:pPr>
        <w:spacing w:line="560" w:lineRule="exact"/>
        <w:ind w:firstLine="643" w:firstLineChars="200"/>
        <w:rPr>
          <w:rFonts w:ascii="仿宋_GB2312" w:hAnsi="仿宋_GB2312"/>
          <w:sz w:val="32"/>
          <w:szCs w:val="32"/>
        </w:rPr>
      </w:pPr>
      <w:r>
        <w:rPr>
          <w:rFonts w:ascii="仿宋_GB2312" w:hAnsi="仿宋_GB2312"/>
          <w:b/>
          <w:sz w:val="32"/>
          <w:szCs w:val="32"/>
        </w:rPr>
        <w:t>坚持人才优先，打造“英才人社”。</w:t>
      </w:r>
      <w:r>
        <w:rPr>
          <w:rFonts w:ascii="仿宋_GB2312" w:hAnsi="仿宋_GB2312"/>
          <w:sz w:val="32"/>
          <w:szCs w:val="32"/>
        </w:rPr>
        <w:t>加大人力资源开发力度，提高人力资源利用效率，提升劳动者能力素质与产业结构转型升级的匹配度。健全高端人才吸引汇聚机制，加大人才引进力度，加强技能人才、专业技术人才队伍建设，提升人才保障水平。加快构建人员数量充足、专业结构合理、年龄梯次衔接的高水平人才队伍，为我市经济社会发展提供强大的人才保证和智力支持。</w:t>
      </w:r>
    </w:p>
    <w:p w14:paraId="356273D4">
      <w:pPr>
        <w:spacing w:line="560" w:lineRule="exact"/>
        <w:ind w:firstLine="643" w:firstLineChars="200"/>
        <w:rPr>
          <w:rFonts w:ascii="仿宋_GB2312" w:hAnsi="仿宋_GB2312"/>
          <w:sz w:val="32"/>
          <w:szCs w:val="32"/>
        </w:rPr>
      </w:pPr>
      <w:r>
        <w:rPr>
          <w:rFonts w:ascii="仿宋_GB2312" w:hAnsi="仿宋_GB2312"/>
          <w:b/>
          <w:sz w:val="32"/>
          <w:szCs w:val="32"/>
        </w:rPr>
        <w:t>坚持改革创新，打造“创新人社”。</w:t>
      </w:r>
      <w:r>
        <w:rPr>
          <w:rFonts w:ascii="仿宋_GB2312" w:hAnsi="仿宋_GB2312"/>
          <w:sz w:val="32"/>
          <w:szCs w:val="32"/>
        </w:rPr>
        <w:t>深刻认识和把握新发展阶段人力资源和社会保障事业发展所面临的形势和发展规律，坚持用创新的理念、改革的方法解决人力资源和社会保障事业发展中的难题，有效破解影响民生福祉的突出矛盾和问题，在推进大众创业、社会保险改革、人才评价改革、收入分配改革等方面不断探索，为人力资源和社会保障事业发展注入新动力。</w:t>
      </w:r>
    </w:p>
    <w:p w14:paraId="1D026196">
      <w:pPr>
        <w:spacing w:line="560" w:lineRule="exact"/>
        <w:ind w:firstLine="643" w:firstLineChars="200"/>
        <w:rPr>
          <w:rFonts w:ascii="仿宋_GB2312" w:hAnsi="仿宋_GB2312"/>
          <w:sz w:val="32"/>
          <w:szCs w:val="32"/>
        </w:rPr>
      </w:pPr>
      <w:r>
        <w:rPr>
          <w:rFonts w:ascii="仿宋_GB2312" w:hAnsi="仿宋_GB2312"/>
          <w:b/>
          <w:sz w:val="32"/>
          <w:szCs w:val="32"/>
        </w:rPr>
        <w:t>坚持依法行政，打造“法治人社”。</w:t>
      </w:r>
      <w:r>
        <w:rPr>
          <w:rFonts w:ascii="仿宋_GB2312" w:hAnsi="仿宋_GB2312"/>
          <w:sz w:val="32"/>
          <w:szCs w:val="32"/>
        </w:rPr>
        <w:t>牢固树立法治理念，坚持用法治思维、法治方式推动人力资源和社会保障事业发展，推进人力资源和社会保障工作在法治的轨道上行稳致远。</w:t>
      </w:r>
    </w:p>
    <w:p w14:paraId="7F667B99">
      <w:pPr>
        <w:pStyle w:val="3"/>
        <w:rPr>
          <w:rFonts w:ascii="楷体_GB2312" w:hAnsi="方正仿宋简体"/>
          <w:b/>
        </w:rPr>
      </w:pPr>
      <w:r>
        <w:rPr>
          <w:rFonts w:ascii="楷体_GB2312" w:hAnsi="楷体_GB2312"/>
          <w:b/>
        </w:rPr>
        <w:t>第四节</w:t>
      </w:r>
      <w:r>
        <w:rPr>
          <w:rFonts w:ascii="楷体_GB2312"/>
          <w:b/>
        </w:rPr>
        <w:t xml:space="preserve"> </w:t>
      </w:r>
      <w:r>
        <w:rPr>
          <w:rFonts w:ascii="楷体_GB2312" w:hAnsi="楷体_GB2312"/>
          <w:b/>
        </w:rPr>
        <w:t>发展目标</w:t>
      </w:r>
    </w:p>
    <w:p w14:paraId="19A0A10F">
      <w:pPr>
        <w:overflowPunct w:val="0"/>
        <w:adjustRightInd w:val="0"/>
        <w:snapToGrid w:val="0"/>
        <w:spacing w:line="560" w:lineRule="exact"/>
        <w:ind w:firstLine="641"/>
        <w:rPr>
          <w:rFonts w:ascii="仿宋_GB2312" w:hAnsi="仿宋_GB2312"/>
          <w:color w:val="000000"/>
          <w:spacing w:val="-10"/>
          <w:kern w:val="0"/>
          <w:sz w:val="32"/>
          <w:szCs w:val="32"/>
        </w:rPr>
      </w:pPr>
      <w:r>
        <w:rPr>
          <w:rFonts w:ascii="仿宋_GB2312" w:hAnsi="仿宋_GB2312"/>
          <w:b/>
          <w:sz w:val="32"/>
          <w:szCs w:val="32"/>
        </w:rPr>
        <w:t>2035年人力资源和社会保障事业远景目标：</w:t>
      </w:r>
      <w:r>
        <w:rPr>
          <w:rFonts w:ascii="仿宋_GB2312" w:hAnsi="仿宋_GB2312"/>
          <w:color w:val="000000"/>
          <w:spacing w:val="-10"/>
          <w:kern w:val="0"/>
          <w:sz w:val="32"/>
          <w:szCs w:val="32"/>
        </w:rPr>
        <w:t>人力资源和社会保障制度体系更加完善，公共服务水平全面跃升，社会就业更高质量更加充分更加公平，保持较低的失业水平，不断满足劳动者对美好生活的向往；多层次社会保障体系更加公平更可持续，形成全民共有共享共建共谋的发展局面；人才政策更加积极更加开放，各类人才的创新活力竞相迸发，人力资源充分开发利用；工资收入分配更加公平合理，中等收入群体比例明显提高；劳动关系更加和谐稳定，现代劳动关系治理格局基本形成；城乡一体、均等可及的人力资源社会保障基本公共服务体系更加高效优质。</w:t>
      </w:r>
    </w:p>
    <w:p w14:paraId="424F7552">
      <w:pPr>
        <w:spacing w:line="560" w:lineRule="exact"/>
        <w:ind w:firstLine="640" w:firstLineChars="200"/>
        <w:rPr>
          <w:rFonts w:ascii="仿宋_GB2312" w:hAnsi="仿宋_GB2312"/>
          <w:sz w:val="32"/>
          <w:szCs w:val="32"/>
        </w:rPr>
      </w:pPr>
      <w:r>
        <w:rPr>
          <w:rFonts w:ascii="仿宋_GB2312" w:hAnsi="仿宋_GB2312"/>
          <w:sz w:val="32"/>
          <w:szCs w:val="32"/>
        </w:rPr>
        <w:t>“十四五”时期，要推进全市人力资源和社会保障事业内涵发展，实现“业有厚成、劳有丰酬、才有优用、技有专长、老有颐养”。</w:t>
      </w:r>
    </w:p>
    <w:p w14:paraId="7D549F74">
      <w:pPr>
        <w:spacing w:line="560" w:lineRule="exact"/>
        <w:ind w:firstLine="643" w:firstLineChars="200"/>
        <w:rPr>
          <w:rFonts w:ascii="仿宋_GB2312" w:hAnsi="仿宋_GB2312"/>
          <w:sz w:val="32"/>
          <w:szCs w:val="32"/>
        </w:rPr>
      </w:pPr>
      <w:r>
        <w:rPr>
          <w:rFonts w:ascii="仿宋_GB2312" w:hAnsi="仿宋_GB2312"/>
          <w:b/>
          <w:sz w:val="32"/>
          <w:szCs w:val="32"/>
        </w:rPr>
        <w:t>实现更加充分的高质量就业。</w:t>
      </w:r>
      <w:r>
        <w:rPr>
          <w:rFonts w:ascii="仿宋_GB2312" w:hAnsi="仿宋_GB2312"/>
          <w:sz w:val="32"/>
          <w:szCs w:val="32"/>
        </w:rPr>
        <w:t>深入贯彻落实就业优先政策。重点群体就业稳定，就业帮扶机制更加健全，劳动力市场供求基本平衡。结构性就业矛盾有效缓解，劳动者就业技能稳步提升，更加契合产业转型升级和高质量发展需求。创业服务体系更加健全，创业环境更加优化，创业活力充分涌动，创业引领作用更加凸显。持续稳定和扩大就业规模，就业质量逐步提升，有效控制失业风险，</w:t>
      </w:r>
      <w:r>
        <w:rPr>
          <w:rFonts w:ascii="仿宋_GB2312" w:hAnsi="仿宋_GB2312"/>
          <w:bCs/>
          <w:sz w:val="32"/>
          <w:szCs w:val="32"/>
        </w:rPr>
        <w:t>基本实现公共就业服务覆盖全民、贯穿全程、辐射全域、便捷高效，</w:t>
      </w:r>
      <w:r>
        <w:rPr>
          <w:rFonts w:ascii="仿宋_GB2312" w:hAnsi="仿宋_GB2312"/>
          <w:sz w:val="32"/>
          <w:szCs w:val="32"/>
        </w:rPr>
        <w:t>保持就业局势稳定。</w:t>
      </w:r>
    </w:p>
    <w:p w14:paraId="32762F16">
      <w:pPr>
        <w:spacing w:line="560" w:lineRule="exact"/>
        <w:ind w:firstLine="643" w:firstLineChars="200"/>
        <w:rPr>
          <w:rFonts w:ascii="仿宋_GB2312" w:hAnsi="仿宋_GB2312"/>
          <w:sz w:val="32"/>
          <w:szCs w:val="32"/>
        </w:rPr>
      </w:pPr>
      <w:r>
        <w:rPr>
          <w:rFonts w:ascii="仿宋_GB2312" w:hAnsi="仿宋_GB2312"/>
          <w:b/>
          <w:sz w:val="32"/>
          <w:szCs w:val="32"/>
        </w:rPr>
        <w:t>社会保障体系更加完善。</w:t>
      </w:r>
      <w:r>
        <w:rPr>
          <w:rFonts w:ascii="仿宋_GB2312" w:hAnsi="仿宋_GB2312"/>
          <w:sz w:val="32"/>
          <w:szCs w:val="32"/>
        </w:rPr>
        <w:t>坚持兜底线、织密网、建机制，健全</w:t>
      </w:r>
      <w:r>
        <w:rPr>
          <w:rFonts w:ascii="仿宋_GB2312" w:hAnsi="仿宋_GB2312"/>
          <w:color w:val="000000"/>
          <w:sz w:val="32"/>
          <w:szCs w:val="32"/>
          <w:shd w:val="clear" w:color="auto" w:fill="FFFFFF"/>
        </w:rPr>
        <w:t>覆盖全民、统筹城乡、公平统一、可持续的多层次社会保障体系。以增强公平性、适应流动性、保障可持续性为重点，持续深化社会保险制度改革，实现</w:t>
      </w:r>
      <w:r>
        <w:rPr>
          <w:rFonts w:ascii="仿宋_GB2312" w:hAnsi="仿宋_GB2312"/>
          <w:sz w:val="32"/>
          <w:szCs w:val="32"/>
        </w:rPr>
        <w:t>法定人群全面覆盖、制度衔接顺畅有序、体制机制更加完善、待遇水平稳步提高、政府投入形成机制、基金运行安全稳定、管理服务高效便捷，统筹层次稳步提高。</w:t>
      </w:r>
    </w:p>
    <w:p w14:paraId="7AF921E6">
      <w:pPr>
        <w:spacing w:line="560" w:lineRule="exact"/>
        <w:ind w:firstLine="643" w:firstLineChars="200"/>
        <w:rPr>
          <w:rFonts w:ascii="仿宋_GB2312" w:hAnsi="仿宋_GB2312"/>
          <w:color w:val="000000"/>
          <w:sz w:val="32"/>
          <w:szCs w:val="32"/>
        </w:rPr>
      </w:pPr>
      <w:r>
        <w:rPr>
          <w:rFonts w:ascii="仿宋_GB2312" w:hAnsi="仿宋_GB2312"/>
          <w:b/>
          <w:color w:val="000000"/>
          <w:sz w:val="32"/>
          <w:szCs w:val="32"/>
        </w:rPr>
        <w:t>人才服务经济社会高质量发展能力显著提升。</w:t>
      </w:r>
      <w:r>
        <w:rPr>
          <w:rFonts w:ascii="仿宋_GB2312" w:hAnsi="仿宋_GB2312"/>
          <w:color w:val="000000"/>
          <w:sz w:val="32"/>
          <w:szCs w:val="32"/>
        </w:rPr>
        <w:t>全面强化高层次人才引进力度。大力培养规模宏大、结构优化、效能显著的高技能人才队伍和专业技术人才队伍。充分发挥市场主导作用，大力发展人力资源产业，促进</w:t>
      </w:r>
      <w:r>
        <w:rPr>
          <w:rFonts w:ascii="仿宋_GB2312" w:hAnsi="仿宋_GB2312"/>
          <w:sz w:val="32"/>
          <w:szCs w:val="32"/>
        </w:rPr>
        <w:t>人力资源市场更加开放有序。</w:t>
      </w:r>
      <w:r>
        <w:rPr>
          <w:rFonts w:ascii="仿宋_GB2312" w:hAnsi="仿宋_GB2312"/>
          <w:color w:val="000000"/>
          <w:sz w:val="32"/>
          <w:szCs w:val="32"/>
        </w:rPr>
        <w:t>有效释放用人主体在引才、育才、评才、用才等方面的积极性、主动性、创造性。人才发展环境更加优化，人才公共服务体系更加健全，人才支撑发展第一资源作用深度激发。</w:t>
      </w:r>
    </w:p>
    <w:p w14:paraId="42967CA0">
      <w:pPr>
        <w:spacing w:line="560" w:lineRule="exact"/>
        <w:ind w:firstLine="643" w:firstLineChars="200"/>
        <w:rPr>
          <w:rFonts w:ascii="仿宋_GB2312" w:hAnsi="仿宋_GB2312"/>
          <w:sz w:val="32"/>
          <w:szCs w:val="32"/>
        </w:rPr>
      </w:pPr>
      <w:r>
        <w:rPr>
          <w:rFonts w:ascii="仿宋_GB2312" w:hAnsi="仿宋_GB2312"/>
          <w:b/>
          <w:color w:val="000000"/>
          <w:sz w:val="32"/>
          <w:szCs w:val="32"/>
        </w:rPr>
        <w:t>事业单位人事制度更具生机活力。</w:t>
      </w:r>
      <w:r>
        <w:rPr>
          <w:rFonts w:ascii="仿宋_GB2312" w:hAnsi="仿宋_GB2312"/>
          <w:color w:val="000000"/>
          <w:sz w:val="32"/>
          <w:szCs w:val="32"/>
        </w:rPr>
        <w:t>以公益属性更加强化、政策体系更加完备、管理体制更加健全、用人机制更加灵活为核心，</w:t>
      </w:r>
      <w:r>
        <w:rPr>
          <w:rFonts w:ascii="仿宋_GB2312" w:hAnsi="仿宋_GB2312"/>
          <w:sz w:val="32"/>
          <w:szCs w:val="32"/>
        </w:rPr>
        <w:t>持续推进事业单位人事制度改革，形成符合事业单位特点、适应人才成长规律、</w:t>
      </w:r>
      <w:r>
        <w:rPr>
          <w:rFonts w:ascii="仿宋_GB2312" w:hAnsi="仿宋_GB2312"/>
          <w:color w:val="000000"/>
          <w:sz w:val="32"/>
          <w:szCs w:val="32"/>
          <w:shd w:val="clear" w:color="auto" w:fill="FFFFFF"/>
        </w:rPr>
        <w:t>规范有序、充满活力的事业单位人事管理制度</w:t>
      </w:r>
      <w:r>
        <w:rPr>
          <w:rFonts w:ascii="仿宋_GB2312" w:hAnsi="仿宋_GB2312"/>
          <w:sz w:val="32"/>
          <w:szCs w:val="32"/>
        </w:rPr>
        <w:t>，切实保障和落实事业单位用人自主权，激发事业单位发展活力。</w:t>
      </w:r>
    </w:p>
    <w:p w14:paraId="2237DA92">
      <w:pPr>
        <w:spacing w:line="560" w:lineRule="exact"/>
        <w:ind w:firstLine="643" w:firstLineChars="200"/>
        <w:rPr>
          <w:rFonts w:ascii="仿宋_GB2312" w:hAnsi="仿宋_GB2312"/>
          <w:sz w:val="32"/>
          <w:szCs w:val="32"/>
        </w:rPr>
      </w:pPr>
      <w:r>
        <w:rPr>
          <w:rFonts w:ascii="仿宋_GB2312" w:hAnsi="仿宋_GB2312"/>
          <w:b/>
          <w:sz w:val="32"/>
          <w:szCs w:val="32"/>
        </w:rPr>
        <w:t>形成更加合理有序的工资收入分配格局。</w:t>
      </w:r>
      <w:r>
        <w:rPr>
          <w:rFonts w:ascii="仿宋_GB2312" w:hAnsi="仿宋_GB2312"/>
          <w:sz w:val="32"/>
          <w:szCs w:val="32"/>
        </w:rPr>
        <w:t>工资收入分配制度改革不断深化，城乡居民收入稳步增长。企业工资分配宏观调控体系更加完善，工资结构更加优化。工资支付保障制度效应更加彰显，劳动者获得报酬权益得到充分保障。劳动报酬在初次分配中的比重逐步提高，增加劳动者特别是一线劳动者收入，收入分配格局科学合理，差距不断缩小。</w:t>
      </w:r>
    </w:p>
    <w:p w14:paraId="53C8E1B6">
      <w:pPr>
        <w:spacing w:line="560" w:lineRule="exact"/>
        <w:ind w:firstLine="643" w:firstLineChars="200"/>
        <w:rPr>
          <w:rFonts w:ascii="仿宋_GB2312" w:hAnsi="仿宋_GB2312"/>
          <w:color w:val="000000"/>
          <w:sz w:val="32"/>
          <w:szCs w:val="32"/>
        </w:rPr>
      </w:pPr>
      <w:r>
        <w:rPr>
          <w:rFonts w:ascii="仿宋_GB2312" w:hAnsi="仿宋_GB2312"/>
          <w:b/>
          <w:color w:val="000000"/>
          <w:sz w:val="32"/>
          <w:szCs w:val="32"/>
        </w:rPr>
        <w:t>构建和谐稳定的劳动关系。</w:t>
      </w:r>
      <w:r>
        <w:rPr>
          <w:rFonts w:ascii="仿宋_GB2312" w:hAnsi="仿宋_GB2312"/>
          <w:color w:val="000000"/>
          <w:sz w:val="32"/>
          <w:szCs w:val="32"/>
        </w:rPr>
        <w:t>劳动权益保障进一步加强，治理效能稳步提升。劳动争议调解仲裁效率更高，司法衔接更加顺畅。构建下沉执法、常态执法、规范执法、公正执法的劳动保障监察执法格局。</w:t>
      </w:r>
    </w:p>
    <w:p w14:paraId="5C87F8AE">
      <w:pPr>
        <w:spacing w:line="560" w:lineRule="exact"/>
        <w:ind w:firstLine="643" w:firstLineChars="200"/>
        <w:rPr>
          <w:rFonts w:ascii="仿宋_GB2312" w:hAnsi="仿宋_GB2312"/>
          <w:color w:val="000000"/>
          <w:sz w:val="32"/>
          <w:szCs w:val="32"/>
        </w:rPr>
      </w:pPr>
      <w:r>
        <w:rPr>
          <w:rFonts w:ascii="仿宋_GB2312" w:hAnsi="仿宋_GB2312"/>
          <w:b/>
          <w:color w:val="000000"/>
          <w:sz w:val="32"/>
          <w:szCs w:val="32"/>
        </w:rPr>
        <w:t>公共服务更加优质高效便捷。</w:t>
      </w:r>
      <w:r>
        <w:rPr>
          <w:rFonts w:ascii="仿宋_GB2312" w:hAnsi="仿宋_GB2312"/>
          <w:color w:val="000000"/>
          <w:sz w:val="32"/>
          <w:szCs w:val="32"/>
        </w:rPr>
        <w:t>健全覆盖城乡居民、机构布局合理、信息互联互通、设施设备完善、流程科学规范、服务效能显著提升、均等化水平稳步提高、群众满意度明显提升的人力资源和社会保障公共服务体系。持续深化“简政放权、放管结合、优化服务”改革，全面推进“互联网+人社服务”融合发展。</w:t>
      </w:r>
    </w:p>
    <w:tbl>
      <w:tblPr>
        <w:tblStyle w:val="5"/>
        <w:tblW w:w="49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444"/>
        <w:gridCol w:w="1309"/>
        <w:gridCol w:w="1442"/>
        <w:gridCol w:w="935"/>
      </w:tblGrid>
      <w:tr w14:paraId="5031F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vAlign w:val="center"/>
          </w:tcPr>
          <w:p w14:paraId="675C04D3">
            <w:pPr>
              <w:spacing w:line="560" w:lineRule="exact"/>
              <w:jc w:val="center"/>
              <w:rPr>
                <w:rFonts w:ascii="黑体" w:hAnsi="黑体" w:eastAsia="黑体"/>
                <w:bCs/>
                <w:color w:val="000000"/>
                <w:spacing w:val="-10"/>
                <w:kern w:val="0"/>
                <w:sz w:val="28"/>
                <w:szCs w:val="28"/>
              </w:rPr>
            </w:pPr>
            <w:bookmarkStart w:id="1" w:name="OLE_LINK3"/>
            <w:r>
              <w:rPr>
                <w:rFonts w:hint="eastAsia" w:ascii="黑体" w:hAnsi="黑体" w:eastAsia="黑体"/>
                <w:bCs/>
                <w:color w:val="000000"/>
                <w:spacing w:val="-10"/>
                <w:kern w:val="0"/>
                <w:sz w:val="28"/>
                <w:szCs w:val="28"/>
              </w:rPr>
              <w:t>专栏2   “十四五”时期主要指标</w:t>
            </w:r>
            <w:bookmarkEnd w:id="1"/>
          </w:p>
        </w:tc>
      </w:tr>
      <w:tr w14:paraId="126CD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jc w:val="center"/>
        </w:trPr>
        <w:tc>
          <w:tcPr>
            <w:tcW w:w="2733" w:type="pct"/>
            <w:tcBorders>
              <w:top w:val="single" w:color="000000" w:sz="4" w:space="0"/>
              <w:left w:val="single" w:color="000000" w:sz="4" w:space="0"/>
              <w:bottom w:val="single" w:color="000000" w:sz="4" w:space="0"/>
              <w:right w:val="single" w:color="000000" w:sz="4" w:space="0"/>
            </w:tcBorders>
          </w:tcPr>
          <w:p w14:paraId="27AEDF69">
            <w:pPr>
              <w:adjustRightInd w:val="0"/>
              <w:snapToGrid w:val="0"/>
              <w:spacing w:line="560" w:lineRule="exact"/>
              <w:jc w:val="center"/>
              <w:rPr>
                <w:rFonts w:hint="eastAsia" w:ascii="黑体" w:hAnsi="黑体" w:eastAsia="黑体"/>
                <w:color w:val="000000"/>
                <w:spacing w:val="-10"/>
                <w:kern w:val="0"/>
              </w:rPr>
            </w:pPr>
            <w:r>
              <w:rPr>
                <w:rFonts w:hint="eastAsia" w:ascii="黑体" w:hAnsi="黑体" w:eastAsia="黑体"/>
                <w:color w:val="000000"/>
                <w:spacing w:val="-10"/>
                <w:kern w:val="0"/>
              </w:rPr>
              <w:t>指  标</w:t>
            </w:r>
          </w:p>
        </w:tc>
        <w:tc>
          <w:tcPr>
            <w:tcW w:w="805" w:type="pct"/>
            <w:tcBorders>
              <w:top w:val="single" w:color="000000" w:sz="4" w:space="0"/>
              <w:left w:val="nil"/>
              <w:bottom w:val="single" w:color="000000" w:sz="4" w:space="0"/>
              <w:right w:val="single" w:color="000000" w:sz="4" w:space="0"/>
            </w:tcBorders>
          </w:tcPr>
          <w:p w14:paraId="7ABD8C3E">
            <w:pPr>
              <w:adjustRightInd w:val="0"/>
              <w:snapToGrid w:val="0"/>
              <w:spacing w:line="560" w:lineRule="exact"/>
              <w:jc w:val="center"/>
              <w:rPr>
                <w:rFonts w:hint="eastAsia" w:ascii="黑体" w:hAnsi="黑体" w:eastAsia="黑体"/>
                <w:color w:val="000000"/>
                <w:spacing w:val="-10"/>
                <w:kern w:val="0"/>
              </w:rPr>
            </w:pPr>
            <w:r>
              <w:rPr>
                <w:rFonts w:hint="eastAsia" w:ascii="黑体" w:hAnsi="黑体" w:eastAsia="黑体"/>
                <w:color w:val="000000"/>
                <w:spacing w:val="-10"/>
                <w:kern w:val="0"/>
              </w:rPr>
              <w:t>2020年</w:t>
            </w:r>
          </w:p>
        </w:tc>
        <w:tc>
          <w:tcPr>
            <w:tcW w:w="887" w:type="pct"/>
            <w:tcBorders>
              <w:top w:val="single" w:color="000000" w:sz="4" w:space="0"/>
              <w:left w:val="nil"/>
              <w:bottom w:val="single" w:color="000000" w:sz="4" w:space="0"/>
              <w:right w:val="single" w:color="000000" w:sz="4" w:space="0"/>
            </w:tcBorders>
          </w:tcPr>
          <w:p w14:paraId="54BA2334">
            <w:pPr>
              <w:adjustRightInd w:val="0"/>
              <w:snapToGrid w:val="0"/>
              <w:spacing w:line="560" w:lineRule="exact"/>
              <w:jc w:val="center"/>
              <w:rPr>
                <w:rFonts w:hint="eastAsia" w:ascii="黑体" w:hAnsi="黑体" w:eastAsia="黑体"/>
                <w:color w:val="000000"/>
                <w:spacing w:val="-10"/>
                <w:kern w:val="0"/>
              </w:rPr>
            </w:pPr>
            <w:r>
              <w:rPr>
                <w:rFonts w:hint="eastAsia" w:ascii="黑体" w:hAnsi="黑体" w:eastAsia="黑体"/>
                <w:color w:val="000000"/>
                <w:spacing w:val="-10"/>
                <w:kern w:val="0"/>
              </w:rPr>
              <w:t>预计2025年</w:t>
            </w:r>
          </w:p>
        </w:tc>
        <w:tc>
          <w:tcPr>
            <w:tcW w:w="575" w:type="pct"/>
            <w:tcBorders>
              <w:top w:val="single" w:color="000000" w:sz="4" w:space="0"/>
              <w:left w:val="nil"/>
              <w:bottom w:val="single" w:color="000000" w:sz="4" w:space="0"/>
              <w:right w:val="single" w:color="000000" w:sz="4" w:space="0"/>
            </w:tcBorders>
          </w:tcPr>
          <w:p w14:paraId="03E56553">
            <w:pPr>
              <w:adjustRightInd w:val="0"/>
              <w:snapToGrid w:val="0"/>
              <w:spacing w:line="560" w:lineRule="exact"/>
              <w:jc w:val="center"/>
              <w:rPr>
                <w:rFonts w:hint="eastAsia" w:ascii="黑体" w:hAnsi="黑体" w:eastAsia="黑体"/>
                <w:color w:val="000000"/>
                <w:spacing w:val="-10"/>
                <w:kern w:val="0"/>
              </w:rPr>
            </w:pPr>
            <w:r>
              <w:rPr>
                <w:rFonts w:hint="eastAsia" w:ascii="黑体" w:hAnsi="黑体" w:eastAsia="黑体"/>
                <w:color w:val="000000"/>
                <w:spacing w:val="-10"/>
                <w:kern w:val="0"/>
              </w:rPr>
              <w:t>属 性</w:t>
            </w:r>
          </w:p>
        </w:tc>
      </w:tr>
      <w:tr w14:paraId="1E9B3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vAlign w:val="center"/>
          </w:tcPr>
          <w:p w14:paraId="745C93B3">
            <w:pPr>
              <w:adjustRightInd w:val="0"/>
              <w:snapToGrid w:val="0"/>
              <w:spacing w:line="560" w:lineRule="exact"/>
              <w:rPr>
                <w:rFonts w:hint="eastAsia" w:ascii="Times New Roman" w:hAnsi="Times New Roman" w:cs="Times New Roman"/>
                <w:b/>
                <w:color w:val="000000"/>
                <w:spacing w:val="-10"/>
                <w:kern w:val="0"/>
              </w:rPr>
            </w:pPr>
            <w:r>
              <w:rPr>
                <w:rFonts w:hint="eastAsia" w:ascii="宋体" w:hAnsi="宋体"/>
                <w:b/>
                <w:color w:val="000000"/>
                <w:spacing w:val="-10"/>
                <w:kern w:val="0"/>
              </w:rPr>
              <w:t>一、就业</w:t>
            </w:r>
          </w:p>
        </w:tc>
      </w:tr>
      <w:tr w14:paraId="1E280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43C81E99">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1</w:t>
            </w:r>
            <w:r>
              <w:rPr>
                <w:rFonts w:hint="eastAsia" w:ascii="宋体" w:hAnsi="宋体"/>
                <w:color w:val="000000"/>
                <w:spacing w:val="-10"/>
                <w:kern w:val="0"/>
              </w:rPr>
              <w:t>．城镇新增就业人数（万人）</w:t>
            </w:r>
          </w:p>
        </w:tc>
        <w:tc>
          <w:tcPr>
            <w:tcW w:w="805" w:type="pct"/>
            <w:tcBorders>
              <w:top w:val="single" w:color="000000" w:sz="4" w:space="0"/>
              <w:left w:val="nil"/>
              <w:bottom w:val="single" w:color="000000" w:sz="4" w:space="0"/>
              <w:right w:val="single" w:color="000000" w:sz="4" w:space="0"/>
            </w:tcBorders>
            <w:vAlign w:val="center"/>
          </w:tcPr>
          <w:p w14:paraId="6F4AA926">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[13.9]</w:t>
            </w:r>
          </w:p>
        </w:tc>
        <w:tc>
          <w:tcPr>
            <w:tcW w:w="887" w:type="pct"/>
            <w:tcBorders>
              <w:top w:val="single" w:color="000000" w:sz="4" w:space="0"/>
              <w:left w:val="nil"/>
              <w:bottom w:val="single" w:color="000000" w:sz="4" w:space="0"/>
              <w:right w:val="single" w:color="000000" w:sz="4" w:space="0"/>
            </w:tcBorders>
            <w:vAlign w:val="center"/>
          </w:tcPr>
          <w:p w14:paraId="1E480148">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[10]</w:t>
            </w:r>
          </w:p>
        </w:tc>
        <w:tc>
          <w:tcPr>
            <w:tcW w:w="575" w:type="pct"/>
            <w:tcBorders>
              <w:top w:val="single" w:color="000000" w:sz="4" w:space="0"/>
              <w:left w:val="nil"/>
              <w:bottom w:val="single" w:color="000000" w:sz="4" w:space="0"/>
              <w:right w:val="single" w:color="000000" w:sz="4" w:space="0"/>
            </w:tcBorders>
            <w:vAlign w:val="center"/>
          </w:tcPr>
          <w:p w14:paraId="4B65DEFA">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5D549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0008CDBB">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2</w:t>
            </w:r>
            <w:r>
              <w:rPr>
                <w:rFonts w:hint="eastAsia" w:ascii="宋体" w:hAnsi="宋体"/>
                <w:color w:val="000000"/>
                <w:spacing w:val="-10"/>
                <w:kern w:val="0"/>
              </w:rPr>
              <w:t>．高校毕业生就业人数（万人）</w:t>
            </w:r>
          </w:p>
        </w:tc>
        <w:tc>
          <w:tcPr>
            <w:tcW w:w="805" w:type="pct"/>
            <w:tcBorders>
              <w:top w:val="single" w:color="000000" w:sz="4" w:space="0"/>
              <w:left w:val="nil"/>
              <w:bottom w:val="single" w:color="000000" w:sz="4" w:space="0"/>
              <w:right w:val="single" w:color="000000" w:sz="4" w:space="0"/>
            </w:tcBorders>
            <w:vAlign w:val="center"/>
          </w:tcPr>
          <w:p w14:paraId="6CC93C86">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[6.8]</w:t>
            </w:r>
          </w:p>
        </w:tc>
        <w:tc>
          <w:tcPr>
            <w:tcW w:w="887" w:type="pct"/>
            <w:tcBorders>
              <w:top w:val="single" w:color="000000" w:sz="4" w:space="0"/>
              <w:left w:val="nil"/>
              <w:bottom w:val="single" w:color="000000" w:sz="4" w:space="0"/>
              <w:right w:val="single" w:color="000000" w:sz="4" w:space="0"/>
            </w:tcBorders>
            <w:vAlign w:val="center"/>
          </w:tcPr>
          <w:p w14:paraId="7F23C65B">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[5]</w:t>
            </w:r>
          </w:p>
        </w:tc>
        <w:tc>
          <w:tcPr>
            <w:tcW w:w="575" w:type="pct"/>
            <w:tcBorders>
              <w:top w:val="single" w:color="000000" w:sz="4" w:space="0"/>
              <w:left w:val="nil"/>
              <w:bottom w:val="single" w:color="000000" w:sz="4" w:space="0"/>
              <w:right w:val="single" w:color="000000" w:sz="4" w:space="0"/>
            </w:tcBorders>
            <w:vAlign w:val="center"/>
          </w:tcPr>
          <w:p w14:paraId="1A7D8B45">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75D5D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10A8DA1A">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3</w:t>
            </w:r>
            <w:r>
              <w:rPr>
                <w:rFonts w:hint="eastAsia" w:ascii="宋体" w:hAnsi="宋体"/>
                <w:color w:val="000000"/>
                <w:spacing w:val="-10"/>
                <w:kern w:val="0"/>
              </w:rPr>
              <w:t>．农牧民转移就业人数（万人次）</w:t>
            </w:r>
          </w:p>
        </w:tc>
        <w:tc>
          <w:tcPr>
            <w:tcW w:w="805" w:type="pct"/>
            <w:tcBorders>
              <w:top w:val="single" w:color="000000" w:sz="4" w:space="0"/>
              <w:left w:val="nil"/>
              <w:bottom w:val="single" w:color="000000" w:sz="4" w:space="0"/>
              <w:right w:val="single" w:color="000000" w:sz="4" w:space="0"/>
            </w:tcBorders>
            <w:vAlign w:val="center"/>
          </w:tcPr>
          <w:p w14:paraId="38C3C394">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[349.2]</w:t>
            </w:r>
          </w:p>
        </w:tc>
        <w:tc>
          <w:tcPr>
            <w:tcW w:w="887" w:type="pct"/>
            <w:tcBorders>
              <w:top w:val="single" w:color="000000" w:sz="4" w:space="0"/>
              <w:left w:val="nil"/>
              <w:bottom w:val="single" w:color="000000" w:sz="4" w:space="0"/>
              <w:right w:val="single" w:color="000000" w:sz="4" w:space="0"/>
            </w:tcBorders>
            <w:vAlign w:val="center"/>
          </w:tcPr>
          <w:p w14:paraId="4932DE14">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[300]</w:t>
            </w:r>
          </w:p>
        </w:tc>
        <w:tc>
          <w:tcPr>
            <w:tcW w:w="575" w:type="pct"/>
            <w:tcBorders>
              <w:top w:val="single" w:color="000000" w:sz="4" w:space="0"/>
              <w:left w:val="nil"/>
              <w:bottom w:val="single" w:color="000000" w:sz="4" w:space="0"/>
              <w:right w:val="single" w:color="000000" w:sz="4" w:space="0"/>
            </w:tcBorders>
            <w:vAlign w:val="center"/>
          </w:tcPr>
          <w:p w14:paraId="3F7E92E3">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242CD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28BF7B36">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4</w:t>
            </w:r>
            <w:r>
              <w:rPr>
                <w:rFonts w:hint="eastAsia" w:ascii="宋体" w:hAnsi="宋体"/>
                <w:color w:val="000000"/>
                <w:spacing w:val="-10"/>
                <w:kern w:val="0"/>
              </w:rPr>
              <w:t>．城镇登记失业率（</w:t>
            </w:r>
            <w:r>
              <w:rPr>
                <w:rFonts w:ascii="Times New Roman" w:hAnsi="Times New Roman" w:cs="Times New Roman"/>
                <w:color w:val="000000"/>
                <w:spacing w:val="-10"/>
                <w:kern w:val="0"/>
              </w:rPr>
              <w:t>%</w:t>
            </w:r>
            <w:r>
              <w:rPr>
                <w:rFonts w:hint="eastAsia" w:ascii="宋体" w:hAnsi="宋体"/>
                <w:color w:val="000000"/>
                <w:spacing w:val="-10"/>
                <w:kern w:val="0"/>
              </w:rPr>
              <w:t>）</w:t>
            </w:r>
          </w:p>
        </w:tc>
        <w:tc>
          <w:tcPr>
            <w:tcW w:w="805" w:type="pct"/>
            <w:tcBorders>
              <w:top w:val="single" w:color="000000" w:sz="4" w:space="0"/>
              <w:left w:val="nil"/>
              <w:bottom w:val="single" w:color="000000" w:sz="4" w:space="0"/>
              <w:right w:val="single" w:color="000000" w:sz="4" w:space="0"/>
            </w:tcBorders>
            <w:vAlign w:val="center"/>
          </w:tcPr>
          <w:p w14:paraId="54E684BB">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4.08</w:t>
            </w:r>
          </w:p>
        </w:tc>
        <w:tc>
          <w:tcPr>
            <w:tcW w:w="887" w:type="pct"/>
            <w:tcBorders>
              <w:top w:val="single" w:color="000000" w:sz="4" w:space="0"/>
              <w:left w:val="nil"/>
              <w:bottom w:val="single" w:color="000000" w:sz="4" w:space="0"/>
              <w:right w:val="single" w:color="000000" w:sz="4" w:space="0"/>
            </w:tcBorders>
            <w:vAlign w:val="center"/>
          </w:tcPr>
          <w:p w14:paraId="2A7EEA07">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&lt;5</w:t>
            </w:r>
          </w:p>
        </w:tc>
        <w:tc>
          <w:tcPr>
            <w:tcW w:w="575" w:type="pct"/>
            <w:tcBorders>
              <w:top w:val="single" w:color="000000" w:sz="4" w:space="0"/>
              <w:left w:val="nil"/>
              <w:bottom w:val="single" w:color="000000" w:sz="4" w:space="0"/>
              <w:right w:val="single" w:color="000000" w:sz="4" w:space="0"/>
            </w:tcBorders>
            <w:vAlign w:val="center"/>
          </w:tcPr>
          <w:p w14:paraId="61E4DE31">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27E42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67D51AB0">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5</w:t>
            </w:r>
            <w:r>
              <w:rPr>
                <w:rFonts w:hint="eastAsia" w:ascii="宋体" w:hAnsi="宋体"/>
                <w:color w:val="000000"/>
                <w:spacing w:val="-10"/>
                <w:kern w:val="0"/>
              </w:rPr>
              <w:t>．开展补贴性职业技能培训人次（万人次）</w:t>
            </w:r>
          </w:p>
        </w:tc>
        <w:tc>
          <w:tcPr>
            <w:tcW w:w="805" w:type="pct"/>
            <w:tcBorders>
              <w:top w:val="single" w:color="000000" w:sz="4" w:space="0"/>
              <w:left w:val="nil"/>
              <w:bottom w:val="single" w:color="000000" w:sz="4" w:space="0"/>
              <w:right w:val="single" w:color="000000" w:sz="4" w:space="0"/>
            </w:tcBorders>
            <w:vAlign w:val="center"/>
          </w:tcPr>
          <w:p w14:paraId="756DB9EF">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[2.78]</w:t>
            </w:r>
          </w:p>
        </w:tc>
        <w:tc>
          <w:tcPr>
            <w:tcW w:w="887" w:type="pct"/>
            <w:tcBorders>
              <w:top w:val="single" w:color="000000" w:sz="4" w:space="0"/>
              <w:left w:val="nil"/>
              <w:bottom w:val="single" w:color="000000" w:sz="4" w:space="0"/>
              <w:right w:val="single" w:color="000000" w:sz="4" w:space="0"/>
            </w:tcBorders>
            <w:vAlign w:val="center"/>
          </w:tcPr>
          <w:p w14:paraId="0D830A87">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rPr>
              <w:t xml:space="preserve"> [7]</w:t>
            </w:r>
          </w:p>
        </w:tc>
        <w:tc>
          <w:tcPr>
            <w:tcW w:w="575" w:type="pct"/>
            <w:tcBorders>
              <w:top w:val="single" w:color="000000" w:sz="4" w:space="0"/>
              <w:left w:val="nil"/>
              <w:bottom w:val="single" w:color="000000" w:sz="4" w:space="0"/>
              <w:right w:val="single" w:color="000000" w:sz="4" w:space="0"/>
            </w:tcBorders>
            <w:vAlign w:val="center"/>
          </w:tcPr>
          <w:p w14:paraId="77378487">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039B9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766007F1">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6</w:t>
            </w:r>
            <w:r>
              <w:rPr>
                <w:rFonts w:hint="eastAsia" w:ascii="宋体" w:hAnsi="宋体"/>
                <w:color w:val="000000"/>
                <w:spacing w:val="-10"/>
                <w:kern w:val="0"/>
              </w:rPr>
              <w:t>．其中，农牧民工参加职业培训人次（万人次）</w:t>
            </w:r>
          </w:p>
        </w:tc>
        <w:tc>
          <w:tcPr>
            <w:tcW w:w="805" w:type="pct"/>
            <w:tcBorders>
              <w:top w:val="single" w:color="000000" w:sz="4" w:space="0"/>
              <w:left w:val="nil"/>
              <w:bottom w:val="single" w:color="000000" w:sz="4" w:space="0"/>
              <w:right w:val="single" w:color="000000" w:sz="4" w:space="0"/>
            </w:tcBorders>
            <w:vAlign w:val="center"/>
          </w:tcPr>
          <w:p w14:paraId="5D1D957F">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[1.24]</w:t>
            </w:r>
          </w:p>
        </w:tc>
        <w:tc>
          <w:tcPr>
            <w:tcW w:w="887" w:type="pct"/>
            <w:tcBorders>
              <w:top w:val="single" w:color="000000" w:sz="4" w:space="0"/>
              <w:left w:val="nil"/>
              <w:bottom w:val="single" w:color="000000" w:sz="4" w:space="0"/>
              <w:right w:val="single" w:color="000000" w:sz="4" w:space="0"/>
            </w:tcBorders>
            <w:vAlign w:val="center"/>
          </w:tcPr>
          <w:p w14:paraId="52FD072C">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rPr>
              <w:t xml:space="preserve"> [3]</w:t>
            </w:r>
          </w:p>
        </w:tc>
        <w:tc>
          <w:tcPr>
            <w:tcW w:w="575" w:type="pct"/>
            <w:tcBorders>
              <w:top w:val="single" w:color="000000" w:sz="4" w:space="0"/>
              <w:left w:val="nil"/>
              <w:bottom w:val="single" w:color="000000" w:sz="4" w:space="0"/>
              <w:right w:val="single" w:color="000000" w:sz="4" w:space="0"/>
            </w:tcBorders>
            <w:vAlign w:val="center"/>
          </w:tcPr>
          <w:p w14:paraId="5008FB40">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6C856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vAlign w:val="center"/>
          </w:tcPr>
          <w:p w14:paraId="043125D8">
            <w:pPr>
              <w:adjustRightInd w:val="0"/>
              <w:snapToGrid w:val="0"/>
              <w:spacing w:line="560" w:lineRule="exact"/>
              <w:rPr>
                <w:rFonts w:ascii="Times New Roman" w:hAnsi="Times New Roman" w:cs="Times New Roman"/>
                <w:color w:val="000000"/>
                <w:spacing w:val="-10"/>
                <w:kern w:val="0"/>
              </w:rPr>
            </w:pPr>
            <w:r>
              <w:rPr>
                <w:rFonts w:hint="eastAsia" w:ascii="宋体" w:hAnsi="宋体"/>
                <w:b/>
                <w:color w:val="000000"/>
                <w:spacing w:val="-10"/>
                <w:kern w:val="0"/>
              </w:rPr>
              <w:t>二、社会保障</w:t>
            </w:r>
          </w:p>
        </w:tc>
      </w:tr>
      <w:tr w14:paraId="52589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5611F136">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7</w:t>
            </w:r>
            <w:r>
              <w:rPr>
                <w:rFonts w:hint="eastAsia" w:ascii="宋体" w:hAnsi="宋体"/>
                <w:color w:val="000000"/>
                <w:spacing w:val="-10"/>
                <w:kern w:val="0"/>
              </w:rPr>
              <w:t>．基本养老保险参保率（</w:t>
            </w:r>
            <w:r>
              <w:rPr>
                <w:rFonts w:ascii="Times New Roman" w:hAnsi="Times New Roman" w:cs="Times New Roman"/>
                <w:color w:val="000000"/>
                <w:spacing w:val="-10"/>
                <w:kern w:val="0"/>
              </w:rPr>
              <w:t>%</w:t>
            </w:r>
            <w:r>
              <w:rPr>
                <w:rFonts w:hint="eastAsia" w:ascii="宋体" w:hAnsi="宋体"/>
                <w:color w:val="000000"/>
                <w:spacing w:val="-10"/>
                <w:kern w:val="0"/>
              </w:rPr>
              <w:t>）</w:t>
            </w:r>
          </w:p>
        </w:tc>
        <w:tc>
          <w:tcPr>
            <w:tcW w:w="805" w:type="pct"/>
            <w:tcBorders>
              <w:top w:val="single" w:color="000000" w:sz="4" w:space="0"/>
              <w:left w:val="nil"/>
              <w:bottom w:val="single" w:color="000000" w:sz="4" w:space="0"/>
              <w:right w:val="single" w:color="000000" w:sz="4" w:space="0"/>
            </w:tcBorders>
            <w:vAlign w:val="center"/>
          </w:tcPr>
          <w:p w14:paraId="095F7B76">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w:t>
            </w:r>
          </w:p>
        </w:tc>
        <w:tc>
          <w:tcPr>
            <w:tcW w:w="887" w:type="pct"/>
            <w:tcBorders>
              <w:top w:val="single" w:color="000000" w:sz="4" w:space="0"/>
              <w:left w:val="nil"/>
              <w:bottom w:val="single" w:color="000000" w:sz="4" w:space="0"/>
              <w:right w:val="single" w:color="000000" w:sz="4" w:space="0"/>
            </w:tcBorders>
            <w:vAlign w:val="center"/>
          </w:tcPr>
          <w:p w14:paraId="2F10255A">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w:t>
            </w:r>
            <w:r>
              <w:rPr>
                <w:rFonts w:ascii="Times New Roman" w:hAnsi="Times New Roman" w:cs="Times New Roman"/>
                <w:color w:val="000000"/>
                <w:spacing w:val="-10"/>
                <w:kern w:val="0"/>
              </w:rPr>
              <w:t>90</w:t>
            </w:r>
          </w:p>
        </w:tc>
        <w:tc>
          <w:tcPr>
            <w:tcW w:w="575" w:type="pct"/>
            <w:tcBorders>
              <w:top w:val="single" w:color="000000" w:sz="4" w:space="0"/>
              <w:left w:val="nil"/>
              <w:bottom w:val="single" w:color="000000" w:sz="4" w:space="0"/>
              <w:right w:val="single" w:color="000000" w:sz="4" w:space="0"/>
            </w:tcBorders>
            <w:vAlign w:val="center"/>
          </w:tcPr>
          <w:p w14:paraId="1975AC1D">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38F51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2B29F876">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8</w:t>
            </w:r>
            <w:r>
              <w:rPr>
                <w:rFonts w:hint="eastAsia" w:ascii="宋体" w:hAnsi="宋体"/>
                <w:color w:val="000000"/>
                <w:spacing w:val="-10"/>
                <w:kern w:val="0"/>
              </w:rPr>
              <w:t>．基本养老保险参保人数（万人）</w:t>
            </w:r>
          </w:p>
        </w:tc>
        <w:tc>
          <w:tcPr>
            <w:tcW w:w="805" w:type="pct"/>
            <w:tcBorders>
              <w:top w:val="single" w:color="000000" w:sz="4" w:space="0"/>
              <w:left w:val="nil"/>
              <w:bottom w:val="single" w:color="000000" w:sz="4" w:space="0"/>
              <w:right w:val="single" w:color="000000" w:sz="4" w:space="0"/>
            </w:tcBorders>
            <w:vAlign w:val="center"/>
          </w:tcPr>
          <w:p w14:paraId="042D7F11">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270.05</w:t>
            </w:r>
          </w:p>
        </w:tc>
        <w:tc>
          <w:tcPr>
            <w:tcW w:w="887" w:type="pct"/>
            <w:tcBorders>
              <w:top w:val="single" w:color="000000" w:sz="4" w:space="0"/>
              <w:left w:val="nil"/>
              <w:bottom w:val="single" w:color="000000" w:sz="4" w:space="0"/>
              <w:right w:val="single" w:color="000000" w:sz="4" w:space="0"/>
            </w:tcBorders>
            <w:vAlign w:val="center"/>
          </w:tcPr>
          <w:p w14:paraId="60706B7E">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 xml:space="preserve"> 285</w:t>
            </w:r>
          </w:p>
        </w:tc>
        <w:tc>
          <w:tcPr>
            <w:tcW w:w="575" w:type="pct"/>
            <w:tcBorders>
              <w:top w:val="single" w:color="000000" w:sz="4" w:space="0"/>
              <w:left w:val="nil"/>
              <w:bottom w:val="single" w:color="000000" w:sz="4" w:space="0"/>
              <w:right w:val="single" w:color="000000" w:sz="4" w:space="0"/>
            </w:tcBorders>
            <w:vAlign w:val="center"/>
          </w:tcPr>
          <w:p w14:paraId="53D8A314">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1D538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2E4398CA">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9</w:t>
            </w:r>
            <w:r>
              <w:rPr>
                <w:rFonts w:hint="eastAsia" w:ascii="宋体" w:hAnsi="宋体"/>
                <w:color w:val="000000"/>
                <w:spacing w:val="-10"/>
                <w:kern w:val="0"/>
              </w:rPr>
              <w:t>．失业保险参保人数（万人）</w:t>
            </w:r>
          </w:p>
        </w:tc>
        <w:tc>
          <w:tcPr>
            <w:tcW w:w="805" w:type="pct"/>
            <w:tcBorders>
              <w:top w:val="single" w:color="000000" w:sz="4" w:space="0"/>
              <w:left w:val="nil"/>
              <w:bottom w:val="single" w:color="000000" w:sz="4" w:space="0"/>
              <w:right w:val="single" w:color="000000" w:sz="4" w:space="0"/>
            </w:tcBorders>
            <w:vAlign w:val="center"/>
          </w:tcPr>
          <w:p w14:paraId="72494F94">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 xml:space="preserve"> 26.86</w:t>
            </w:r>
          </w:p>
        </w:tc>
        <w:tc>
          <w:tcPr>
            <w:tcW w:w="887" w:type="pct"/>
            <w:tcBorders>
              <w:top w:val="single" w:color="000000" w:sz="4" w:space="0"/>
              <w:left w:val="nil"/>
              <w:bottom w:val="single" w:color="000000" w:sz="4" w:space="0"/>
              <w:right w:val="single" w:color="000000" w:sz="4" w:space="0"/>
            </w:tcBorders>
            <w:vAlign w:val="center"/>
          </w:tcPr>
          <w:p w14:paraId="017EC493">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 xml:space="preserve"> 27.8</w:t>
            </w:r>
          </w:p>
        </w:tc>
        <w:tc>
          <w:tcPr>
            <w:tcW w:w="575" w:type="pct"/>
            <w:tcBorders>
              <w:top w:val="single" w:color="000000" w:sz="4" w:space="0"/>
              <w:left w:val="nil"/>
              <w:bottom w:val="single" w:color="000000" w:sz="4" w:space="0"/>
              <w:right w:val="single" w:color="000000" w:sz="4" w:space="0"/>
            </w:tcBorders>
            <w:vAlign w:val="center"/>
          </w:tcPr>
          <w:p w14:paraId="7747ECC7">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约束性</w:t>
            </w:r>
          </w:p>
        </w:tc>
      </w:tr>
      <w:tr w14:paraId="31549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27D6AF23">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10</w:t>
            </w:r>
            <w:r>
              <w:rPr>
                <w:rFonts w:hint="eastAsia" w:ascii="宋体" w:hAnsi="宋体"/>
                <w:color w:val="000000"/>
                <w:spacing w:val="-10"/>
                <w:kern w:val="0"/>
              </w:rPr>
              <w:t>．工伤保险参保人数（万人）</w:t>
            </w:r>
          </w:p>
        </w:tc>
        <w:tc>
          <w:tcPr>
            <w:tcW w:w="805" w:type="pct"/>
            <w:tcBorders>
              <w:top w:val="single" w:color="000000" w:sz="4" w:space="0"/>
              <w:left w:val="nil"/>
              <w:bottom w:val="single" w:color="000000" w:sz="4" w:space="0"/>
              <w:right w:val="single" w:color="000000" w:sz="4" w:space="0"/>
            </w:tcBorders>
            <w:vAlign w:val="center"/>
          </w:tcPr>
          <w:p w14:paraId="72099466">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 xml:space="preserve"> 38.3</w:t>
            </w:r>
          </w:p>
        </w:tc>
        <w:tc>
          <w:tcPr>
            <w:tcW w:w="887" w:type="pct"/>
            <w:tcBorders>
              <w:top w:val="single" w:color="000000" w:sz="4" w:space="0"/>
              <w:left w:val="nil"/>
              <w:bottom w:val="single" w:color="000000" w:sz="4" w:space="0"/>
              <w:right w:val="single" w:color="000000" w:sz="4" w:space="0"/>
            </w:tcBorders>
            <w:vAlign w:val="center"/>
          </w:tcPr>
          <w:p w14:paraId="748F0037">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 xml:space="preserve"> 40.64</w:t>
            </w:r>
          </w:p>
        </w:tc>
        <w:tc>
          <w:tcPr>
            <w:tcW w:w="575" w:type="pct"/>
            <w:tcBorders>
              <w:top w:val="single" w:color="000000" w:sz="4" w:space="0"/>
              <w:left w:val="nil"/>
              <w:bottom w:val="single" w:color="000000" w:sz="4" w:space="0"/>
              <w:right w:val="single" w:color="000000" w:sz="4" w:space="0"/>
            </w:tcBorders>
            <w:vAlign w:val="center"/>
          </w:tcPr>
          <w:p w14:paraId="2D08453A">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约束性</w:t>
            </w:r>
          </w:p>
        </w:tc>
      </w:tr>
      <w:tr w14:paraId="40F40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vAlign w:val="center"/>
          </w:tcPr>
          <w:p w14:paraId="1524D45F">
            <w:pPr>
              <w:adjustRightInd w:val="0"/>
              <w:snapToGrid w:val="0"/>
              <w:spacing w:line="560" w:lineRule="exact"/>
              <w:rPr>
                <w:rFonts w:ascii="Times New Roman" w:hAnsi="Times New Roman" w:cs="Times New Roman"/>
                <w:color w:val="000000"/>
                <w:spacing w:val="-10"/>
                <w:kern w:val="0"/>
              </w:rPr>
            </w:pPr>
            <w:r>
              <w:rPr>
                <w:rFonts w:hint="eastAsia" w:ascii="宋体" w:hAnsi="宋体"/>
                <w:b/>
                <w:color w:val="000000"/>
                <w:spacing w:val="-10"/>
                <w:kern w:val="0"/>
              </w:rPr>
              <w:t>三、人事人才</w:t>
            </w:r>
          </w:p>
        </w:tc>
      </w:tr>
      <w:tr w14:paraId="2F7DD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6CCF60F4">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11</w:t>
            </w:r>
            <w:r>
              <w:rPr>
                <w:rFonts w:hint="eastAsia" w:ascii="宋体" w:hAnsi="宋体"/>
                <w:color w:val="000000"/>
                <w:spacing w:val="-10"/>
                <w:kern w:val="0"/>
              </w:rPr>
              <w:t>．专业技术人才总量（万人）</w:t>
            </w:r>
          </w:p>
        </w:tc>
        <w:tc>
          <w:tcPr>
            <w:tcW w:w="805" w:type="pct"/>
            <w:tcBorders>
              <w:top w:val="single" w:color="000000" w:sz="4" w:space="0"/>
              <w:left w:val="nil"/>
              <w:bottom w:val="single" w:color="000000" w:sz="4" w:space="0"/>
              <w:right w:val="single" w:color="000000" w:sz="4" w:space="0"/>
            </w:tcBorders>
            <w:vAlign w:val="center"/>
          </w:tcPr>
          <w:p w14:paraId="6AC77317">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15</w:t>
            </w:r>
          </w:p>
        </w:tc>
        <w:tc>
          <w:tcPr>
            <w:tcW w:w="887" w:type="pct"/>
            <w:tcBorders>
              <w:top w:val="single" w:color="000000" w:sz="4" w:space="0"/>
              <w:left w:val="nil"/>
              <w:bottom w:val="single" w:color="000000" w:sz="4" w:space="0"/>
              <w:right w:val="single" w:color="000000" w:sz="4" w:space="0"/>
            </w:tcBorders>
            <w:vAlign w:val="center"/>
          </w:tcPr>
          <w:p w14:paraId="00971C57">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 xml:space="preserve"> 16.5</w:t>
            </w:r>
          </w:p>
        </w:tc>
        <w:tc>
          <w:tcPr>
            <w:tcW w:w="575" w:type="pct"/>
            <w:tcBorders>
              <w:top w:val="single" w:color="000000" w:sz="4" w:space="0"/>
              <w:left w:val="nil"/>
              <w:bottom w:val="single" w:color="000000" w:sz="4" w:space="0"/>
              <w:right w:val="single" w:color="000000" w:sz="4" w:space="0"/>
            </w:tcBorders>
            <w:vAlign w:val="center"/>
          </w:tcPr>
          <w:p w14:paraId="4026E722">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56EF0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0AFA59AC">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12</w:t>
            </w:r>
            <w:r>
              <w:rPr>
                <w:rFonts w:hint="eastAsia" w:ascii="宋体" w:hAnsi="宋体"/>
                <w:color w:val="000000"/>
                <w:spacing w:val="-10"/>
                <w:kern w:val="0"/>
              </w:rPr>
              <w:t>．其中：高级职称人才数量（万人）</w:t>
            </w:r>
          </w:p>
        </w:tc>
        <w:tc>
          <w:tcPr>
            <w:tcW w:w="805" w:type="pct"/>
            <w:tcBorders>
              <w:top w:val="single" w:color="000000" w:sz="4" w:space="0"/>
              <w:left w:val="nil"/>
              <w:bottom w:val="single" w:color="000000" w:sz="4" w:space="0"/>
              <w:right w:val="single" w:color="000000" w:sz="4" w:space="0"/>
            </w:tcBorders>
            <w:vAlign w:val="center"/>
          </w:tcPr>
          <w:p w14:paraId="414ED7F4">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 xml:space="preserve"> 2.56</w:t>
            </w:r>
          </w:p>
        </w:tc>
        <w:tc>
          <w:tcPr>
            <w:tcW w:w="887" w:type="pct"/>
            <w:tcBorders>
              <w:top w:val="single" w:color="000000" w:sz="4" w:space="0"/>
              <w:left w:val="nil"/>
              <w:bottom w:val="single" w:color="000000" w:sz="4" w:space="0"/>
              <w:right w:val="single" w:color="000000" w:sz="4" w:space="0"/>
            </w:tcBorders>
            <w:vAlign w:val="center"/>
          </w:tcPr>
          <w:p w14:paraId="08BF7586">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 xml:space="preserve"> 2.82</w:t>
            </w:r>
          </w:p>
        </w:tc>
        <w:tc>
          <w:tcPr>
            <w:tcW w:w="575" w:type="pct"/>
            <w:tcBorders>
              <w:top w:val="single" w:color="000000" w:sz="4" w:space="0"/>
              <w:left w:val="nil"/>
              <w:bottom w:val="single" w:color="000000" w:sz="4" w:space="0"/>
              <w:right w:val="single" w:color="000000" w:sz="4" w:space="0"/>
            </w:tcBorders>
            <w:vAlign w:val="center"/>
          </w:tcPr>
          <w:p w14:paraId="340C4CE7">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284C3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2C1533D1">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13</w:t>
            </w:r>
            <w:r>
              <w:rPr>
                <w:rFonts w:hint="eastAsia" w:ascii="宋体" w:hAnsi="宋体"/>
                <w:color w:val="000000"/>
                <w:spacing w:val="-10"/>
                <w:kern w:val="0"/>
              </w:rPr>
              <w:t>．高技能人才总量（万人）</w:t>
            </w:r>
          </w:p>
        </w:tc>
        <w:tc>
          <w:tcPr>
            <w:tcW w:w="805" w:type="pct"/>
            <w:tcBorders>
              <w:top w:val="single" w:color="000000" w:sz="4" w:space="0"/>
              <w:left w:val="nil"/>
              <w:bottom w:val="single" w:color="000000" w:sz="4" w:space="0"/>
              <w:right w:val="single" w:color="000000" w:sz="4" w:space="0"/>
            </w:tcBorders>
            <w:vAlign w:val="center"/>
          </w:tcPr>
          <w:p w14:paraId="44719385">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 xml:space="preserve"> 6.6</w:t>
            </w:r>
          </w:p>
        </w:tc>
        <w:tc>
          <w:tcPr>
            <w:tcW w:w="887" w:type="pct"/>
            <w:tcBorders>
              <w:top w:val="single" w:color="000000" w:sz="4" w:space="0"/>
              <w:left w:val="nil"/>
              <w:bottom w:val="single" w:color="000000" w:sz="4" w:space="0"/>
              <w:right w:val="single" w:color="000000" w:sz="4" w:space="0"/>
            </w:tcBorders>
            <w:vAlign w:val="center"/>
          </w:tcPr>
          <w:p w14:paraId="543530CE">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 xml:space="preserve">7.2 </w:t>
            </w:r>
          </w:p>
        </w:tc>
        <w:tc>
          <w:tcPr>
            <w:tcW w:w="575" w:type="pct"/>
            <w:tcBorders>
              <w:top w:val="single" w:color="000000" w:sz="4" w:space="0"/>
              <w:left w:val="nil"/>
              <w:bottom w:val="single" w:color="000000" w:sz="4" w:space="0"/>
              <w:right w:val="single" w:color="000000" w:sz="4" w:space="0"/>
            </w:tcBorders>
            <w:vAlign w:val="center"/>
          </w:tcPr>
          <w:p w14:paraId="179E205C">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1B333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0E954BD8">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rPr>
              <w:t>14</w:t>
            </w:r>
            <w:r>
              <w:rPr>
                <w:rFonts w:hint="eastAsia" w:ascii="宋体" w:hAnsi="宋体"/>
                <w:color w:val="000000"/>
              </w:rPr>
              <w:t>．新增取得职业资格证书或职业技能等级证书人数（万人次）</w:t>
            </w:r>
          </w:p>
        </w:tc>
        <w:tc>
          <w:tcPr>
            <w:tcW w:w="805" w:type="pct"/>
            <w:tcBorders>
              <w:top w:val="single" w:color="000000" w:sz="4" w:space="0"/>
              <w:left w:val="nil"/>
              <w:bottom w:val="single" w:color="000000" w:sz="4" w:space="0"/>
              <w:right w:val="single" w:color="000000" w:sz="4" w:space="0"/>
            </w:tcBorders>
            <w:vAlign w:val="center"/>
          </w:tcPr>
          <w:p w14:paraId="108B687A">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 xml:space="preserve"> 8.8</w:t>
            </w:r>
          </w:p>
        </w:tc>
        <w:tc>
          <w:tcPr>
            <w:tcW w:w="887" w:type="pct"/>
            <w:tcBorders>
              <w:top w:val="single" w:color="000000" w:sz="4" w:space="0"/>
              <w:left w:val="nil"/>
              <w:bottom w:val="single" w:color="000000" w:sz="4" w:space="0"/>
              <w:right w:val="single" w:color="000000" w:sz="4" w:space="0"/>
            </w:tcBorders>
            <w:vAlign w:val="center"/>
          </w:tcPr>
          <w:p w14:paraId="4F33BCFA">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rPr>
              <w:t xml:space="preserve"> 5</w:t>
            </w:r>
          </w:p>
        </w:tc>
        <w:tc>
          <w:tcPr>
            <w:tcW w:w="575" w:type="pct"/>
            <w:tcBorders>
              <w:top w:val="single" w:color="000000" w:sz="4" w:space="0"/>
              <w:left w:val="nil"/>
              <w:bottom w:val="single" w:color="000000" w:sz="4" w:space="0"/>
              <w:right w:val="single" w:color="000000" w:sz="4" w:space="0"/>
            </w:tcBorders>
            <w:vAlign w:val="center"/>
          </w:tcPr>
          <w:p w14:paraId="0EE5A68E">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3608B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182AEC23">
            <w:pPr>
              <w:adjustRightInd w:val="0"/>
              <w:snapToGrid w:val="0"/>
              <w:spacing w:line="560" w:lineRule="exact"/>
              <w:rPr>
                <w:rFonts w:ascii="Times New Roman" w:hAnsi="Times New Roman" w:cs="Times New Roman"/>
                <w:color w:val="000000"/>
              </w:rPr>
            </w:pPr>
            <w:r>
              <w:rPr>
                <w:rFonts w:ascii="Times New Roman" w:hAnsi="Times New Roman" w:cs="Times New Roman"/>
                <w:color w:val="000000"/>
              </w:rPr>
              <w:t>15</w:t>
            </w:r>
            <w:r>
              <w:rPr>
                <w:rFonts w:hint="eastAsia" w:ascii="宋体" w:hAnsi="宋体"/>
                <w:color w:val="000000"/>
              </w:rPr>
              <w:t>．其中：新增取得高级工以上职业资格证书或职业技能等级证书人数（万人次）</w:t>
            </w:r>
          </w:p>
        </w:tc>
        <w:tc>
          <w:tcPr>
            <w:tcW w:w="805" w:type="pct"/>
            <w:tcBorders>
              <w:top w:val="single" w:color="000000" w:sz="4" w:space="0"/>
              <w:left w:val="nil"/>
              <w:bottom w:val="single" w:color="000000" w:sz="4" w:space="0"/>
              <w:right w:val="single" w:color="000000" w:sz="4" w:space="0"/>
            </w:tcBorders>
            <w:vAlign w:val="center"/>
          </w:tcPr>
          <w:p w14:paraId="41B1ADAB">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 xml:space="preserve"> 1.5</w:t>
            </w:r>
          </w:p>
        </w:tc>
        <w:tc>
          <w:tcPr>
            <w:tcW w:w="887" w:type="pct"/>
            <w:tcBorders>
              <w:top w:val="single" w:color="000000" w:sz="4" w:space="0"/>
              <w:left w:val="nil"/>
              <w:bottom w:val="single" w:color="000000" w:sz="4" w:space="0"/>
              <w:right w:val="single" w:color="000000" w:sz="4" w:space="0"/>
            </w:tcBorders>
            <w:vAlign w:val="center"/>
          </w:tcPr>
          <w:p w14:paraId="58604060">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rPr>
              <w:t xml:space="preserve"> 0.6</w:t>
            </w:r>
          </w:p>
        </w:tc>
        <w:tc>
          <w:tcPr>
            <w:tcW w:w="575" w:type="pct"/>
            <w:tcBorders>
              <w:top w:val="single" w:color="000000" w:sz="4" w:space="0"/>
              <w:left w:val="nil"/>
              <w:bottom w:val="single" w:color="000000" w:sz="4" w:space="0"/>
              <w:right w:val="single" w:color="000000" w:sz="4" w:space="0"/>
            </w:tcBorders>
            <w:vAlign w:val="center"/>
          </w:tcPr>
          <w:p w14:paraId="7F92991C">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064B3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vAlign w:val="center"/>
          </w:tcPr>
          <w:p w14:paraId="07B35833">
            <w:pPr>
              <w:adjustRightInd w:val="0"/>
              <w:snapToGrid w:val="0"/>
              <w:spacing w:line="560" w:lineRule="exact"/>
              <w:rPr>
                <w:rFonts w:ascii="Times New Roman" w:hAnsi="Times New Roman" w:cs="Times New Roman"/>
                <w:color w:val="000000"/>
                <w:spacing w:val="-10"/>
                <w:kern w:val="0"/>
              </w:rPr>
            </w:pPr>
            <w:r>
              <w:rPr>
                <w:rFonts w:hint="eastAsia" w:ascii="宋体" w:hAnsi="宋体"/>
                <w:b/>
                <w:color w:val="000000"/>
                <w:spacing w:val="-10"/>
                <w:kern w:val="0"/>
              </w:rPr>
              <w:t>四、劳动关系</w:t>
            </w:r>
          </w:p>
        </w:tc>
      </w:tr>
      <w:tr w14:paraId="53A47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0FDF03D8">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16</w:t>
            </w:r>
            <w:r>
              <w:rPr>
                <w:rFonts w:hint="eastAsia" w:ascii="宋体" w:hAnsi="宋体"/>
                <w:color w:val="000000"/>
                <w:spacing w:val="-10"/>
                <w:kern w:val="0"/>
              </w:rPr>
              <w:t>．劳动人事争议调解成功率（</w:t>
            </w:r>
            <w:r>
              <w:rPr>
                <w:rFonts w:ascii="Times New Roman" w:hAnsi="Times New Roman" w:cs="Times New Roman"/>
                <w:color w:val="000000"/>
                <w:spacing w:val="-10"/>
                <w:kern w:val="0"/>
              </w:rPr>
              <w:t>%</w:t>
            </w:r>
            <w:r>
              <w:rPr>
                <w:rFonts w:hint="eastAsia" w:ascii="宋体" w:hAnsi="宋体"/>
                <w:color w:val="000000"/>
                <w:spacing w:val="-10"/>
                <w:kern w:val="0"/>
              </w:rPr>
              <w:t>）</w:t>
            </w:r>
          </w:p>
        </w:tc>
        <w:tc>
          <w:tcPr>
            <w:tcW w:w="805" w:type="pct"/>
            <w:tcBorders>
              <w:top w:val="single" w:color="000000" w:sz="4" w:space="0"/>
              <w:left w:val="nil"/>
              <w:bottom w:val="single" w:color="000000" w:sz="4" w:space="0"/>
              <w:right w:val="single" w:color="000000" w:sz="4" w:space="0"/>
            </w:tcBorders>
            <w:vAlign w:val="center"/>
          </w:tcPr>
          <w:p w14:paraId="79A32C2A">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62.77</w:t>
            </w:r>
          </w:p>
        </w:tc>
        <w:tc>
          <w:tcPr>
            <w:tcW w:w="887" w:type="pct"/>
            <w:tcBorders>
              <w:top w:val="single" w:color="000000" w:sz="4" w:space="0"/>
              <w:left w:val="nil"/>
              <w:bottom w:val="single" w:color="000000" w:sz="4" w:space="0"/>
              <w:right w:val="single" w:color="000000" w:sz="4" w:space="0"/>
            </w:tcBorders>
            <w:vAlign w:val="center"/>
          </w:tcPr>
          <w:p w14:paraId="03E23807">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w:t>
            </w:r>
            <w:r>
              <w:rPr>
                <w:rFonts w:ascii="Times New Roman" w:hAnsi="Times New Roman" w:cs="Times New Roman"/>
                <w:color w:val="000000"/>
                <w:spacing w:val="-10"/>
                <w:kern w:val="0"/>
              </w:rPr>
              <w:t>60</w:t>
            </w:r>
          </w:p>
        </w:tc>
        <w:tc>
          <w:tcPr>
            <w:tcW w:w="575" w:type="pct"/>
            <w:tcBorders>
              <w:top w:val="single" w:color="000000" w:sz="4" w:space="0"/>
              <w:left w:val="nil"/>
              <w:bottom w:val="single" w:color="000000" w:sz="4" w:space="0"/>
              <w:right w:val="single" w:color="000000" w:sz="4" w:space="0"/>
            </w:tcBorders>
            <w:vAlign w:val="center"/>
          </w:tcPr>
          <w:p w14:paraId="188C2642">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35050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668CB106">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17</w:t>
            </w:r>
            <w:r>
              <w:rPr>
                <w:rFonts w:hint="eastAsia" w:ascii="宋体" w:hAnsi="宋体"/>
                <w:color w:val="000000"/>
                <w:spacing w:val="-10"/>
                <w:kern w:val="0"/>
              </w:rPr>
              <w:t>．劳动人事争议仲裁结案率（</w:t>
            </w:r>
            <w:r>
              <w:rPr>
                <w:rFonts w:ascii="Times New Roman" w:hAnsi="Times New Roman" w:cs="Times New Roman"/>
                <w:color w:val="000000"/>
                <w:spacing w:val="-10"/>
                <w:kern w:val="0"/>
              </w:rPr>
              <w:t>%</w:t>
            </w:r>
            <w:r>
              <w:rPr>
                <w:rFonts w:hint="eastAsia" w:ascii="宋体" w:hAnsi="宋体"/>
                <w:color w:val="000000"/>
                <w:spacing w:val="-10"/>
                <w:kern w:val="0"/>
              </w:rPr>
              <w:t>）</w:t>
            </w:r>
          </w:p>
        </w:tc>
        <w:tc>
          <w:tcPr>
            <w:tcW w:w="805" w:type="pct"/>
            <w:tcBorders>
              <w:top w:val="single" w:color="000000" w:sz="4" w:space="0"/>
              <w:left w:val="nil"/>
              <w:bottom w:val="single" w:color="000000" w:sz="4" w:space="0"/>
              <w:right w:val="single" w:color="000000" w:sz="4" w:space="0"/>
            </w:tcBorders>
            <w:vAlign w:val="center"/>
          </w:tcPr>
          <w:p w14:paraId="3E702239">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99.04</w:t>
            </w:r>
          </w:p>
        </w:tc>
        <w:tc>
          <w:tcPr>
            <w:tcW w:w="887" w:type="pct"/>
            <w:tcBorders>
              <w:top w:val="single" w:color="000000" w:sz="4" w:space="0"/>
              <w:left w:val="nil"/>
              <w:bottom w:val="single" w:color="000000" w:sz="4" w:space="0"/>
              <w:right w:val="single" w:color="000000" w:sz="4" w:space="0"/>
            </w:tcBorders>
            <w:vAlign w:val="center"/>
          </w:tcPr>
          <w:p w14:paraId="6EDDC5E3">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w:t>
            </w:r>
            <w:r>
              <w:rPr>
                <w:rFonts w:ascii="Times New Roman" w:hAnsi="Times New Roman" w:cs="Times New Roman"/>
                <w:color w:val="000000"/>
                <w:spacing w:val="-10"/>
                <w:kern w:val="0"/>
              </w:rPr>
              <w:t>90</w:t>
            </w:r>
          </w:p>
        </w:tc>
        <w:tc>
          <w:tcPr>
            <w:tcW w:w="575" w:type="pct"/>
            <w:tcBorders>
              <w:top w:val="single" w:color="000000" w:sz="4" w:space="0"/>
              <w:left w:val="nil"/>
              <w:bottom w:val="single" w:color="000000" w:sz="4" w:space="0"/>
              <w:right w:val="single" w:color="000000" w:sz="4" w:space="0"/>
            </w:tcBorders>
            <w:vAlign w:val="center"/>
          </w:tcPr>
          <w:p w14:paraId="4CFD85DB">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4DEE3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1DFA0835">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18</w:t>
            </w:r>
            <w:r>
              <w:rPr>
                <w:rFonts w:hint="eastAsia" w:ascii="宋体" w:hAnsi="宋体"/>
                <w:color w:val="000000"/>
                <w:spacing w:val="-10"/>
                <w:kern w:val="0"/>
              </w:rPr>
              <w:t>．劳动保障监察举报投诉案件结案率（</w:t>
            </w:r>
            <w:r>
              <w:rPr>
                <w:rFonts w:ascii="Times New Roman" w:hAnsi="Times New Roman" w:cs="Times New Roman"/>
                <w:color w:val="000000"/>
                <w:spacing w:val="-10"/>
                <w:kern w:val="0"/>
              </w:rPr>
              <w:t>%</w:t>
            </w:r>
            <w:r>
              <w:rPr>
                <w:rFonts w:hint="eastAsia" w:ascii="宋体" w:hAnsi="宋体"/>
                <w:color w:val="000000"/>
                <w:spacing w:val="-10"/>
                <w:kern w:val="0"/>
              </w:rPr>
              <w:t>）</w:t>
            </w:r>
          </w:p>
        </w:tc>
        <w:tc>
          <w:tcPr>
            <w:tcW w:w="805" w:type="pct"/>
            <w:tcBorders>
              <w:top w:val="single" w:color="000000" w:sz="4" w:space="0"/>
              <w:left w:val="nil"/>
              <w:bottom w:val="single" w:color="000000" w:sz="4" w:space="0"/>
              <w:right w:val="single" w:color="000000" w:sz="4" w:space="0"/>
            </w:tcBorders>
            <w:vAlign w:val="center"/>
          </w:tcPr>
          <w:p w14:paraId="1C19A529">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 xml:space="preserve">100 </w:t>
            </w:r>
          </w:p>
        </w:tc>
        <w:tc>
          <w:tcPr>
            <w:tcW w:w="887" w:type="pct"/>
            <w:tcBorders>
              <w:top w:val="single" w:color="000000" w:sz="4" w:space="0"/>
              <w:left w:val="nil"/>
              <w:bottom w:val="single" w:color="000000" w:sz="4" w:space="0"/>
              <w:right w:val="single" w:color="000000" w:sz="4" w:space="0"/>
            </w:tcBorders>
            <w:vAlign w:val="center"/>
          </w:tcPr>
          <w:p w14:paraId="1EE1C973">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100</w:t>
            </w:r>
          </w:p>
        </w:tc>
        <w:tc>
          <w:tcPr>
            <w:tcW w:w="575" w:type="pct"/>
            <w:tcBorders>
              <w:top w:val="single" w:color="000000" w:sz="4" w:space="0"/>
              <w:left w:val="nil"/>
              <w:bottom w:val="single" w:color="000000" w:sz="4" w:space="0"/>
              <w:right w:val="single" w:color="000000" w:sz="4" w:space="0"/>
            </w:tcBorders>
            <w:vAlign w:val="center"/>
          </w:tcPr>
          <w:p w14:paraId="56F9F30E">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78AFC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vAlign w:val="center"/>
          </w:tcPr>
          <w:p w14:paraId="4681B2A9">
            <w:pPr>
              <w:adjustRightInd w:val="0"/>
              <w:snapToGrid w:val="0"/>
              <w:spacing w:line="560" w:lineRule="exact"/>
              <w:rPr>
                <w:rFonts w:ascii="Times New Roman" w:hAnsi="Times New Roman" w:cs="Times New Roman"/>
                <w:color w:val="000000"/>
                <w:spacing w:val="-10"/>
                <w:kern w:val="0"/>
              </w:rPr>
            </w:pPr>
            <w:r>
              <w:rPr>
                <w:rFonts w:hint="eastAsia" w:ascii="宋体" w:hAnsi="宋体"/>
                <w:b/>
                <w:color w:val="000000"/>
                <w:spacing w:val="-10"/>
                <w:kern w:val="0"/>
              </w:rPr>
              <w:t>五、公共服务</w:t>
            </w:r>
          </w:p>
        </w:tc>
      </w:tr>
      <w:tr w14:paraId="4E70E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0A3D68DD">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19</w:t>
            </w:r>
            <w:r>
              <w:rPr>
                <w:rFonts w:hint="eastAsia" w:ascii="宋体" w:hAnsi="宋体"/>
                <w:color w:val="000000"/>
                <w:spacing w:val="-10"/>
                <w:kern w:val="0"/>
              </w:rPr>
              <w:t>．社会保障卡参保人员持卡人数（万人）</w:t>
            </w:r>
          </w:p>
        </w:tc>
        <w:tc>
          <w:tcPr>
            <w:tcW w:w="805" w:type="pct"/>
            <w:tcBorders>
              <w:top w:val="single" w:color="000000" w:sz="4" w:space="0"/>
              <w:left w:val="nil"/>
              <w:bottom w:val="single" w:color="000000" w:sz="4" w:space="0"/>
              <w:right w:val="single" w:color="000000" w:sz="4" w:space="0"/>
            </w:tcBorders>
            <w:vAlign w:val="center"/>
          </w:tcPr>
          <w:p w14:paraId="70ECA2C0">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 xml:space="preserve"> 255.59</w:t>
            </w:r>
          </w:p>
        </w:tc>
        <w:tc>
          <w:tcPr>
            <w:tcW w:w="887" w:type="pct"/>
            <w:tcBorders>
              <w:top w:val="single" w:color="000000" w:sz="4" w:space="0"/>
              <w:left w:val="nil"/>
              <w:bottom w:val="single" w:color="000000" w:sz="4" w:space="0"/>
              <w:right w:val="single" w:color="000000" w:sz="4" w:space="0"/>
            </w:tcBorders>
            <w:vAlign w:val="center"/>
          </w:tcPr>
          <w:p w14:paraId="412C8FFE">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rPr>
              <w:t>275</w:t>
            </w:r>
          </w:p>
        </w:tc>
        <w:tc>
          <w:tcPr>
            <w:tcW w:w="575" w:type="pct"/>
            <w:tcBorders>
              <w:top w:val="single" w:color="000000" w:sz="4" w:space="0"/>
              <w:left w:val="nil"/>
              <w:bottom w:val="single" w:color="000000" w:sz="4" w:space="0"/>
              <w:right w:val="single" w:color="000000" w:sz="4" w:space="0"/>
            </w:tcBorders>
            <w:vAlign w:val="center"/>
          </w:tcPr>
          <w:p w14:paraId="659CE102">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r w14:paraId="08143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2733" w:type="pct"/>
            <w:tcBorders>
              <w:top w:val="single" w:color="000000" w:sz="4" w:space="0"/>
              <w:left w:val="single" w:color="000000" w:sz="4" w:space="0"/>
              <w:bottom w:val="single" w:color="000000" w:sz="4" w:space="0"/>
              <w:right w:val="single" w:color="000000" w:sz="4" w:space="0"/>
            </w:tcBorders>
            <w:vAlign w:val="center"/>
          </w:tcPr>
          <w:p w14:paraId="5D2D13F5">
            <w:pPr>
              <w:adjustRightInd w:val="0"/>
              <w:snapToGrid w:val="0"/>
              <w:spacing w:line="560" w:lineRule="exact"/>
              <w:rPr>
                <w:rFonts w:ascii="Times New Roman" w:hAnsi="Times New Roman" w:cs="Times New Roman"/>
                <w:color w:val="000000"/>
                <w:spacing w:val="-10"/>
                <w:kern w:val="0"/>
              </w:rPr>
            </w:pPr>
            <w:r>
              <w:rPr>
                <w:rFonts w:ascii="Times New Roman" w:hAnsi="Times New Roman" w:cs="Times New Roman"/>
                <w:color w:val="000000"/>
                <w:spacing w:val="-10"/>
                <w:kern w:val="0"/>
              </w:rPr>
              <w:t>20</w:t>
            </w:r>
            <w:r>
              <w:rPr>
                <w:rFonts w:hint="eastAsia" w:ascii="宋体" w:hAnsi="宋体"/>
                <w:color w:val="000000"/>
                <w:spacing w:val="-10"/>
                <w:kern w:val="0"/>
              </w:rPr>
              <w:t>．</w:t>
            </w:r>
            <w:r>
              <w:rPr>
                <w:rFonts w:hint="eastAsia" w:ascii="宋体" w:hAnsi="宋体"/>
                <w:color w:val="000000"/>
              </w:rPr>
              <w:t>其中：申领电子社保卡人口覆盖率</w:t>
            </w:r>
            <w:r>
              <w:rPr>
                <w:rFonts w:ascii="Times New Roman" w:hAnsi="Times New Roman" w:cs="Times New Roman"/>
                <w:color w:val="000000"/>
              </w:rPr>
              <w:t>(%)</w:t>
            </w:r>
          </w:p>
        </w:tc>
        <w:tc>
          <w:tcPr>
            <w:tcW w:w="805" w:type="pct"/>
            <w:tcBorders>
              <w:top w:val="single" w:color="000000" w:sz="4" w:space="0"/>
              <w:left w:val="nil"/>
              <w:bottom w:val="single" w:color="000000" w:sz="4" w:space="0"/>
              <w:right w:val="single" w:color="000000" w:sz="4" w:space="0"/>
            </w:tcBorders>
            <w:vAlign w:val="center"/>
          </w:tcPr>
          <w:p w14:paraId="25637FB6">
            <w:pPr>
              <w:adjustRightInd w:val="0"/>
              <w:snapToGrid w:val="0"/>
              <w:spacing w:line="560" w:lineRule="exact"/>
              <w:jc w:val="center"/>
              <w:rPr>
                <w:rFonts w:ascii="Times New Roman" w:hAnsi="Times New Roman" w:cs="Times New Roman"/>
                <w:color w:val="000000"/>
                <w:spacing w:val="-10"/>
                <w:kern w:val="0"/>
              </w:rPr>
            </w:pPr>
            <w:r>
              <w:rPr>
                <w:rFonts w:ascii="Times New Roman" w:hAnsi="Times New Roman" w:cs="Times New Roman"/>
                <w:color w:val="000000"/>
                <w:spacing w:val="-10"/>
                <w:kern w:val="0"/>
              </w:rPr>
              <w:t xml:space="preserve"> 22</w:t>
            </w:r>
          </w:p>
        </w:tc>
        <w:tc>
          <w:tcPr>
            <w:tcW w:w="887" w:type="pct"/>
            <w:tcBorders>
              <w:top w:val="single" w:color="000000" w:sz="4" w:space="0"/>
              <w:left w:val="nil"/>
              <w:bottom w:val="single" w:color="000000" w:sz="4" w:space="0"/>
              <w:right w:val="single" w:color="000000" w:sz="4" w:space="0"/>
            </w:tcBorders>
            <w:vAlign w:val="center"/>
          </w:tcPr>
          <w:p w14:paraId="75273D8F">
            <w:pPr>
              <w:adjustRightInd w:val="0"/>
              <w:snapToGrid w:val="0"/>
              <w:spacing w:line="560" w:lineRule="exact"/>
              <w:jc w:val="center"/>
              <w:rPr>
                <w:rFonts w:ascii="Times New Roman" w:hAnsi="Times New Roman" w:cs="Times New Roman"/>
                <w:color w:val="000000"/>
                <w:spacing w:val="-10"/>
              </w:rPr>
            </w:pPr>
            <w:r>
              <w:rPr>
                <w:rFonts w:ascii="Times New Roman" w:hAnsi="Times New Roman" w:cs="Times New Roman"/>
                <w:color w:val="000000"/>
                <w:spacing w:val="-10"/>
              </w:rPr>
              <w:t xml:space="preserve"> 35</w:t>
            </w:r>
          </w:p>
        </w:tc>
        <w:tc>
          <w:tcPr>
            <w:tcW w:w="575" w:type="pct"/>
            <w:tcBorders>
              <w:top w:val="single" w:color="000000" w:sz="4" w:space="0"/>
              <w:left w:val="nil"/>
              <w:bottom w:val="single" w:color="000000" w:sz="4" w:space="0"/>
              <w:right w:val="single" w:color="000000" w:sz="4" w:space="0"/>
            </w:tcBorders>
            <w:vAlign w:val="center"/>
          </w:tcPr>
          <w:p w14:paraId="7D718BFC">
            <w:pPr>
              <w:adjustRightInd w:val="0"/>
              <w:snapToGrid w:val="0"/>
              <w:spacing w:line="560" w:lineRule="exact"/>
              <w:jc w:val="center"/>
              <w:rPr>
                <w:rFonts w:ascii="Times New Roman" w:hAnsi="Times New Roman" w:cs="Times New Roman"/>
                <w:color w:val="000000"/>
                <w:spacing w:val="-10"/>
                <w:kern w:val="0"/>
              </w:rPr>
            </w:pPr>
            <w:r>
              <w:rPr>
                <w:rFonts w:hint="eastAsia" w:ascii="宋体" w:hAnsi="宋体"/>
                <w:color w:val="000000"/>
                <w:spacing w:val="-10"/>
                <w:kern w:val="0"/>
              </w:rPr>
              <w:t>预期性</w:t>
            </w:r>
          </w:p>
        </w:tc>
      </w:tr>
    </w:tbl>
    <w:p w14:paraId="0ABF239B">
      <w:pPr>
        <w:widowControl/>
        <w:spacing w:line="560" w:lineRule="exact"/>
        <w:ind w:firstLine="375"/>
        <w:jc w:val="left"/>
        <w:rPr>
          <w:rFonts w:ascii="方正仿宋简体" w:hAnsi="方正仿宋简体"/>
          <w:color w:val="000000"/>
          <w:spacing w:val="-10"/>
          <w:kern w:val="0"/>
          <w:sz w:val="28"/>
          <w:szCs w:val="28"/>
        </w:rPr>
      </w:pPr>
      <w:r>
        <w:rPr>
          <w:rFonts w:ascii="方正仿宋简体" w:hAnsi="方正仿宋简体"/>
          <w:color w:val="000000"/>
          <w:spacing w:val="-10"/>
          <w:kern w:val="0"/>
          <w:sz w:val="28"/>
          <w:szCs w:val="28"/>
        </w:rPr>
        <w:t>注：</w:t>
      </w:r>
      <w:r>
        <w:rPr>
          <w:rFonts w:ascii="方正仿宋简体" w:hAnsi="方正仿宋简体"/>
          <w:color w:val="000000"/>
          <w:kern w:val="0"/>
          <w:sz w:val="28"/>
          <w:szCs w:val="28"/>
        </w:rPr>
        <w:t>[ ]</w:t>
      </w:r>
      <w:r>
        <w:rPr>
          <w:rFonts w:ascii="方正仿宋简体" w:hAnsi="方正仿宋简体"/>
          <w:color w:val="000000"/>
          <w:spacing w:val="-10"/>
          <w:kern w:val="0"/>
          <w:sz w:val="28"/>
          <w:szCs w:val="28"/>
        </w:rPr>
        <w:t>内为五年累计数</w:t>
      </w:r>
    </w:p>
    <w:p w14:paraId="61C5ACCD">
      <w:pPr>
        <w:widowControl/>
        <w:spacing w:line="560" w:lineRule="exact"/>
        <w:ind w:firstLine="375"/>
        <w:jc w:val="left"/>
        <w:rPr>
          <w:rFonts w:ascii="方正仿宋简体" w:hAnsi="方正仿宋简体"/>
          <w:color w:val="000000"/>
          <w:spacing w:val="-10"/>
          <w:kern w:val="0"/>
          <w:sz w:val="28"/>
          <w:szCs w:val="28"/>
        </w:rPr>
      </w:pPr>
      <w:r>
        <w:rPr>
          <w:rFonts w:ascii="方正仿宋简体" w:hAnsi="方正仿宋简体"/>
          <w:color w:val="000000"/>
          <w:spacing w:val="-10"/>
          <w:kern w:val="0"/>
          <w:sz w:val="28"/>
          <w:szCs w:val="28"/>
        </w:rPr>
        <w:t xml:space="preserve"> </w:t>
      </w:r>
    </w:p>
    <w:p w14:paraId="778316DA">
      <w:pPr>
        <w:widowControl/>
        <w:spacing w:line="560" w:lineRule="exact"/>
        <w:ind w:firstLine="375"/>
        <w:jc w:val="left"/>
        <w:rPr>
          <w:rFonts w:ascii="方正仿宋简体" w:hAnsi="方正仿宋简体"/>
          <w:color w:val="000000"/>
          <w:spacing w:val="-10"/>
          <w:kern w:val="0"/>
          <w:sz w:val="28"/>
          <w:szCs w:val="28"/>
        </w:rPr>
      </w:pPr>
      <w:r>
        <w:rPr>
          <w:rFonts w:ascii="方正仿宋简体" w:hAnsi="方正仿宋简体"/>
          <w:color w:val="000000"/>
          <w:spacing w:val="-10"/>
          <w:kern w:val="0"/>
          <w:sz w:val="28"/>
          <w:szCs w:val="28"/>
        </w:rPr>
        <w:t xml:space="preserve"> </w:t>
      </w:r>
    </w:p>
    <w:p w14:paraId="7B1095FD">
      <w:pPr>
        <w:widowControl/>
        <w:spacing w:line="560" w:lineRule="exact"/>
        <w:ind w:firstLine="375"/>
        <w:jc w:val="left"/>
        <w:rPr>
          <w:rFonts w:ascii="方正仿宋简体" w:hAnsi="方正仿宋简体"/>
          <w:color w:val="000000"/>
          <w:spacing w:val="-10"/>
          <w:kern w:val="0"/>
          <w:sz w:val="28"/>
          <w:szCs w:val="28"/>
        </w:rPr>
      </w:pPr>
      <w:r>
        <w:rPr>
          <w:rFonts w:ascii="方正仿宋简体" w:hAnsi="方正仿宋简体"/>
          <w:color w:val="000000"/>
          <w:spacing w:val="-10"/>
          <w:kern w:val="0"/>
          <w:sz w:val="28"/>
          <w:szCs w:val="28"/>
        </w:rPr>
        <w:t xml:space="preserve"> </w:t>
      </w:r>
    </w:p>
    <w:p w14:paraId="46570139">
      <w:pPr>
        <w:widowControl/>
        <w:spacing w:line="560" w:lineRule="exact"/>
        <w:ind w:firstLine="375"/>
        <w:jc w:val="left"/>
        <w:rPr>
          <w:rFonts w:ascii="方正仿宋简体" w:hAnsi="方正仿宋简体"/>
          <w:color w:val="000000"/>
          <w:spacing w:val="-10"/>
          <w:kern w:val="0"/>
          <w:sz w:val="28"/>
          <w:szCs w:val="28"/>
        </w:rPr>
      </w:pPr>
      <w:r>
        <w:rPr>
          <w:rFonts w:ascii="方正仿宋简体" w:hAnsi="方正仿宋简体"/>
          <w:color w:val="000000"/>
          <w:spacing w:val="-10"/>
          <w:kern w:val="0"/>
          <w:sz w:val="28"/>
          <w:szCs w:val="28"/>
        </w:rPr>
        <w:t xml:space="preserve"> </w:t>
      </w:r>
    </w:p>
    <w:p w14:paraId="12D6BA5B">
      <w:pPr>
        <w:widowControl/>
        <w:spacing w:line="560" w:lineRule="exact"/>
        <w:ind w:firstLine="375"/>
        <w:jc w:val="left"/>
        <w:rPr>
          <w:rFonts w:ascii="方正仿宋简体" w:hAnsi="方正仿宋简体"/>
          <w:color w:val="000000"/>
          <w:spacing w:val="-10"/>
          <w:kern w:val="0"/>
          <w:sz w:val="28"/>
          <w:szCs w:val="28"/>
        </w:rPr>
      </w:pPr>
      <w:r>
        <w:rPr>
          <w:rFonts w:ascii="方正仿宋简体" w:hAnsi="方正仿宋简体"/>
          <w:color w:val="000000"/>
          <w:spacing w:val="-10"/>
          <w:kern w:val="0"/>
          <w:sz w:val="28"/>
          <w:szCs w:val="28"/>
        </w:rPr>
        <w:t xml:space="preserve"> </w:t>
      </w:r>
    </w:p>
    <w:p w14:paraId="52B7F5F2">
      <w:pPr>
        <w:widowControl/>
        <w:spacing w:line="560" w:lineRule="exact"/>
        <w:ind w:firstLine="375"/>
        <w:jc w:val="left"/>
        <w:rPr>
          <w:rFonts w:ascii="方正仿宋简体" w:hAnsi="方正仿宋简体"/>
          <w:color w:val="000000"/>
          <w:spacing w:val="-10"/>
          <w:kern w:val="0"/>
          <w:sz w:val="28"/>
          <w:szCs w:val="28"/>
        </w:rPr>
      </w:pPr>
      <w:r>
        <w:rPr>
          <w:rFonts w:ascii="方正仿宋简体" w:hAnsi="方正仿宋简体"/>
          <w:color w:val="000000"/>
          <w:spacing w:val="-10"/>
          <w:kern w:val="0"/>
          <w:sz w:val="28"/>
          <w:szCs w:val="28"/>
        </w:rPr>
        <w:t xml:space="preserve"> </w:t>
      </w:r>
    </w:p>
    <w:p w14:paraId="76632A4A">
      <w:pPr>
        <w:widowControl/>
        <w:spacing w:line="560" w:lineRule="exact"/>
        <w:ind w:firstLine="375"/>
        <w:jc w:val="left"/>
        <w:rPr>
          <w:rFonts w:ascii="方正仿宋简体" w:hAnsi="方正仿宋简体"/>
          <w:color w:val="000000"/>
          <w:spacing w:val="-10"/>
          <w:kern w:val="0"/>
          <w:sz w:val="28"/>
          <w:szCs w:val="28"/>
        </w:rPr>
      </w:pPr>
      <w:r>
        <w:rPr>
          <w:rFonts w:ascii="方正仿宋简体" w:hAnsi="方正仿宋简体"/>
          <w:color w:val="000000"/>
          <w:spacing w:val="-10"/>
          <w:kern w:val="0"/>
          <w:sz w:val="28"/>
          <w:szCs w:val="28"/>
        </w:rPr>
        <w:t xml:space="preserve"> </w:t>
      </w:r>
    </w:p>
    <w:p w14:paraId="555A4FDE">
      <w:pPr>
        <w:widowControl/>
        <w:spacing w:line="560" w:lineRule="exact"/>
        <w:ind w:firstLine="375"/>
        <w:jc w:val="left"/>
        <w:rPr>
          <w:rFonts w:ascii="方正仿宋简体" w:hAnsi="方正仿宋简体"/>
          <w:color w:val="000000"/>
          <w:spacing w:val="-10"/>
          <w:kern w:val="0"/>
          <w:sz w:val="28"/>
          <w:szCs w:val="28"/>
        </w:rPr>
      </w:pPr>
      <w:r>
        <w:rPr>
          <w:rFonts w:ascii="方正仿宋简体" w:hAnsi="方正仿宋简体"/>
          <w:color w:val="000000"/>
          <w:spacing w:val="-10"/>
          <w:kern w:val="0"/>
          <w:sz w:val="28"/>
          <w:szCs w:val="28"/>
        </w:rPr>
        <w:t xml:space="preserve"> </w:t>
      </w:r>
    </w:p>
    <w:p w14:paraId="04B6E293">
      <w:pPr>
        <w:widowControl/>
        <w:spacing w:line="560" w:lineRule="exact"/>
        <w:ind w:firstLine="375"/>
        <w:jc w:val="left"/>
        <w:rPr>
          <w:rFonts w:ascii="方正仿宋简体" w:hAnsi="方正仿宋简体"/>
          <w:color w:val="000000"/>
          <w:spacing w:val="-10"/>
          <w:kern w:val="0"/>
          <w:sz w:val="28"/>
          <w:szCs w:val="28"/>
        </w:rPr>
      </w:pPr>
      <w:r>
        <w:rPr>
          <w:rFonts w:ascii="方正仿宋简体" w:hAnsi="方正仿宋简体"/>
          <w:color w:val="000000"/>
          <w:spacing w:val="-10"/>
          <w:kern w:val="0"/>
          <w:sz w:val="28"/>
          <w:szCs w:val="28"/>
        </w:rPr>
        <w:t xml:space="preserve"> </w:t>
      </w:r>
    </w:p>
    <w:p w14:paraId="771EDC98">
      <w:pPr>
        <w:pStyle w:val="2"/>
        <w:spacing w:before="0" w:after="0" w:line="560" w:lineRule="exact"/>
        <w:jc w:val="center"/>
        <w:rPr>
          <w:rFonts w:ascii="黑体" w:hAnsi="黑体" w:eastAsia="黑体"/>
          <w:b w:val="0"/>
          <w:sz w:val="32"/>
          <w:szCs w:val="32"/>
        </w:rPr>
      </w:pPr>
      <w:r>
        <w:rPr>
          <w:rFonts w:hint="eastAsia" w:ascii="黑体" w:hAnsi="黑体" w:eastAsia="黑体"/>
          <w:b w:val="0"/>
          <w:sz w:val="32"/>
          <w:szCs w:val="32"/>
        </w:rPr>
        <w:t xml:space="preserve">第二章 </w:t>
      </w:r>
      <w:r>
        <w:rPr>
          <w:rFonts w:ascii="黑体" w:hAnsi="黑体" w:eastAsia="黑体"/>
          <w:b w:val="0"/>
          <w:sz w:val="32"/>
          <w:szCs w:val="32"/>
        </w:rPr>
        <w:t xml:space="preserve"> </w:t>
      </w:r>
      <w:r>
        <w:rPr>
          <w:rFonts w:hint="eastAsia" w:ascii="黑体" w:hAnsi="黑体" w:eastAsia="黑体"/>
          <w:b w:val="0"/>
          <w:sz w:val="32"/>
          <w:szCs w:val="32"/>
        </w:rPr>
        <w:t>推动实现更加充分更高质量就业</w:t>
      </w:r>
    </w:p>
    <w:p w14:paraId="7601A016">
      <w:pPr>
        <w:rPr>
          <w:rFonts w:hint="eastAsia" w:ascii="宋体" w:hAnsi="宋体"/>
        </w:rPr>
      </w:pPr>
      <w:r>
        <w:rPr>
          <w:rFonts w:hint="eastAsia" w:ascii="宋体" w:hAnsi="宋体"/>
        </w:rPr>
        <w:t xml:space="preserve"> </w:t>
      </w:r>
    </w:p>
    <w:p w14:paraId="37676959">
      <w:pPr>
        <w:spacing w:line="560" w:lineRule="exact"/>
        <w:ind w:firstLine="640" w:firstLineChars="200"/>
        <w:jc w:val="left"/>
        <w:rPr>
          <w:rFonts w:hint="eastAsia" w:ascii="仿宋_GB2312" w:hAnsi="仿宋_GB2312"/>
          <w:sz w:val="32"/>
          <w:szCs w:val="32"/>
        </w:rPr>
      </w:pPr>
      <w:r>
        <w:rPr>
          <w:rFonts w:ascii="仿宋_GB2312" w:hAnsi="仿宋_GB2312"/>
          <w:sz w:val="32"/>
          <w:szCs w:val="32"/>
        </w:rPr>
        <w:t>坚持把就业作为最大民生，全面强化就业优先政策，坚持经济发展就业导向，千方百计稳定和扩大就业，推动形成高质量发展与就业扩容提质互促共进的良性循环。</w:t>
      </w:r>
    </w:p>
    <w:p w14:paraId="154150D4">
      <w:pPr>
        <w:pStyle w:val="3"/>
        <w:rPr>
          <w:rFonts w:ascii="楷体_GB2312"/>
          <w:b/>
        </w:rPr>
      </w:pPr>
      <w:r>
        <w:rPr>
          <w:rFonts w:hint="eastAsia" w:ascii="楷体_GB2312" w:hAnsi="楷体_GB2312"/>
          <w:b/>
        </w:rPr>
        <w:t xml:space="preserve">第一节 </w:t>
      </w:r>
      <w:r>
        <w:rPr>
          <w:rFonts w:ascii="楷体_GB2312" w:hAnsi="楷体_GB2312"/>
          <w:b/>
        </w:rPr>
        <w:t xml:space="preserve"> 全面增强就业吸纳能力</w:t>
      </w:r>
    </w:p>
    <w:p w14:paraId="05C69229">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坚持经济发展与扩大就业有效联动、良性互动，充分发掘数字经济等新产业、新业态的拓岗潜力，打造新常态下就业增长点。结合我市产业转型升级扩大就业，发挥政府公共投资、重大项目、产业园区对就业的拉动作用，强化劳动密集型产业、先进制造业、现代服务业、信息产业吸纳就业的能力。发挥中小微企业和个体工商户增加就业的作用，落实各项减负稳岗政策，夯实稳就业基础。健全失业保险稳定和促进就业机制，支持企业稳定就业岗位，支持失业人员就业创业。将稳定和扩大就业作为政府绩效考核的重要内容，持续强化政府促进就业的法律责任。</w:t>
      </w:r>
    </w:p>
    <w:p w14:paraId="2DE1EAC3">
      <w:pPr>
        <w:pStyle w:val="3"/>
        <w:rPr>
          <w:rFonts w:ascii="楷体_GB2312"/>
          <w:b/>
        </w:rPr>
      </w:pPr>
      <w:r>
        <w:rPr>
          <w:rFonts w:hint="eastAsia" w:ascii="楷体_GB2312" w:hAnsi="楷体_GB2312"/>
          <w:b/>
        </w:rPr>
        <w:t xml:space="preserve">第二节 </w:t>
      </w:r>
      <w:r>
        <w:rPr>
          <w:rFonts w:ascii="楷体_GB2312" w:hAnsi="楷体_GB2312"/>
          <w:b/>
        </w:rPr>
        <w:t xml:space="preserve"> 提升劳动者技能素质</w:t>
      </w:r>
    </w:p>
    <w:p w14:paraId="4EF819B3">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健全与我市产业发展定位相适应、面向全体劳动者、全职业生涯、全过程衔接的终身职业技能培训制度。健全以市场需求为导向，政府发挥主导作用，企业发挥主体作用，院校发挥基础作用，社会多方参与的职业技能培训体系。扩大职业技能培训规模，大力开展企业职工在岗技能提升、定向定岗、转岗转业和新型学徒制培训，对就业重点群体开展技能提升和创业培训。</w:t>
      </w:r>
      <w:r>
        <w:rPr>
          <w:rFonts w:ascii="仿宋_GB2312" w:hAnsi="仿宋_GB2312"/>
          <w:color w:val="000000"/>
          <w:sz w:val="32"/>
          <w:szCs w:val="32"/>
          <w:shd w:val="clear" w:color="auto" w:fill="FFFFFF"/>
        </w:rPr>
        <w:t>充分发挥企业技能培训主体作用和职业院校培训资源优势，政府补贴的职业技能培训项目全部向具备资质的职业院校开放。</w:t>
      </w:r>
      <w:r>
        <w:rPr>
          <w:rFonts w:ascii="仿宋_GB2312" w:hAnsi="仿宋_GB2312"/>
          <w:color w:val="000000"/>
          <w:sz w:val="32"/>
          <w:szCs w:val="32"/>
        </w:rPr>
        <w:t>建立覆盖全市的职业技能公共实训基地，鼓励开设有产业特色的专业化公共实训场所。</w:t>
      </w:r>
      <w:r>
        <w:rPr>
          <w:rFonts w:ascii="仿宋_GB2312" w:hAnsi="仿宋_GB2312"/>
          <w:color w:val="000000"/>
          <w:sz w:val="32"/>
          <w:szCs w:val="32"/>
          <w:shd w:val="clear" w:color="auto" w:fill="FFFFFF"/>
        </w:rPr>
        <w:t>广泛开展订单式、套餐制培训，探索“互联网+职业技能培训”，</w:t>
      </w:r>
      <w:r>
        <w:rPr>
          <w:rFonts w:ascii="仿宋_GB2312" w:hAnsi="仿宋_GB2312"/>
          <w:color w:val="000000"/>
          <w:sz w:val="32"/>
          <w:szCs w:val="32"/>
        </w:rPr>
        <w:t>实现技能培训全线供给和方便可及</w:t>
      </w:r>
      <w:r>
        <w:rPr>
          <w:rFonts w:ascii="仿宋_GB2312" w:hAnsi="仿宋_GB2312"/>
          <w:color w:val="000000"/>
          <w:sz w:val="32"/>
          <w:szCs w:val="32"/>
          <w:shd w:val="clear" w:color="auto" w:fill="FFFFFF"/>
        </w:rPr>
        <w:t>。加强职业技能培训资金集约化管理和使用，畅通培训补贴直达企业和培训者渠道。健全职业技能培训监督评价考核机制</w:t>
      </w:r>
      <w:r>
        <w:rPr>
          <w:rFonts w:ascii="仿宋_GB2312" w:hAnsi="仿宋_GB2312"/>
          <w:color w:val="000000"/>
          <w:sz w:val="32"/>
          <w:szCs w:val="32"/>
        </w:rPr>
        <w:t>。</w:t>
      </w:r>
    </w:p>
    <w:tbl>
      <w:tblPr>
        <w:tblStyle w:val="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88"/>
      </w:tblGrid>
      <w:tr w14:paraId="2E20F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31" w:type="dxa"/>
            <w:tcBorders>
              <w:top w:val="single" w:color="000000" w:sz="4" w:space="0"/>
              <w:left w:val="single" w:color="000000" w:sz="4" w:space="0"/>
              <w:bottom w:val="single" w:color="000000" w:sz="4" w:space="0"/>
              <w:right w:val="single" w:color="000000" w:sz="4" w:space="0"/>
            </w:tcBorders>
          </w:tcPr>
          <w:p w14:paraId="1EFEC038">
            <w:pPr>
              <w:widowControl/>
              <w:spacing w:line="560" w:lineRule="exact"/>
              <w:jc w:val="center"/>
              <w:rPr>
                <w:rFonts w:ascii="黑体" w:hAnsi="黑体" w:eastAsia="黑体" w:cs="仿宋_GB2312"/>
                <w:color w:val="000000"/>
                <w:spacing w:val="-10"/>
                <w:kern w:val="0"/>
                <w:sz w:val="32"/>
                <w:szCs w:val="32"/>
              </w:rPr>
            </w:pPr>
            <w:r>
              <w:rPr>
                <w:rFonts w:hint="eastAsia" w:ascii="黑体" w:hAnsi="黑体" w:eastAsia="黑体" w:cs="仿宋_GB2312"/>
                <w:color w:val="000000"/>
                <w:spacing w:val="-10"/>
                <w:kern w:val="0"/>
                <w:sz w:val="28"/>
                <w:szCs w:val="28"/>
              </w:rPr>
              <w:t>专栏3 就业能力提升工程</w:t>
            </w:r>
          </w:p>
        </w:tc>
      </w:tr>
      <w:tr w14:paraId="10084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31" w:type="dxa"/>
            <w:tcBorders>
              <w:top w:val="single" w:color="000000" w:sz="4" w:space="0"/>
              <w:left w:val="single" w:color="000000" w:sz="4" w:space="0"/>
              <w:bottom w:val="single" w:color="000000" w:sz="4" w:space="0"/>
              <w:right w:val="single" w:color="000000" w:sz="4" w:space="0"/>
            </w:tcBorders>
          </w:tcPr>
          <w:p w14:paraId="41909096">
            <w:pPr>
              <w:spacing w:line="560" w:lineRule="exact"/>
              <w:rPr>
                <w:rFonts w:hint="eastAsia" w:ascii="仿宋_GB2312" w:hAnsi="仿宋_GB2312"/>
                <w:b/>
                <w:color w:val="000000"/>
                <w:spacing w:val="-10"/>
                <w:sz w:val="28"/>
                <w:szCs w:val="28"/>
              </w:rPr>
            </w:pPr>
            <w:r>
              <w:rPr>
                <w:rFonts w:ascii="仿宋_GB2312" w:hAnsi="仿宋_GB2312"/>
                <w:color w:val="000000"/>
                <w:spacing w:val="-10"/>
                <w:sz w:val="28"/>
                <w:szCs w:val="28"/>
              </w:rPr>
              <w:t xml:space="preserve">    1.</w:t>
            </w:r>
            <w:r>
              <w:rPr>
                <w:rFonts w:ascii="仿宋_GB2312" w:hAnsi="仿宋_GB2312"/>
                <w:b/>
                <w:color w:val="000000"/>
                <w:spacing w:val="-10"/>
                <w:sz w:val="28"/>
                <w:szCs w:val="28"/>
              </w:rPr>
              <w:t>家政、康养服务业职业培训实训基地建设项目</w:t>
            </w:r>
          </w:p>
          <w:p w14:paraId="62079079">
            <w:pPr>
              <w:spacing w:line="560" w:lineRule="exact"/>
              <w:ind w:firstLine="520" w:firstLineChars="200"/>
              <w:rPr>
                <w:rFonts w:ascii="仿宋_GB2312" w:hAnsi="仿宋_GB2312"/>
                <w:color w:val="000000"/>
                <w:spacing w:val="-10"/>
                <w:sz w:val="28"/>
                <w:szCs w:val="28"/>
              </w:rPr>
            </w:pPr>
            <w:r>
              <w:rPr>
                <w:rFonts w:ascii="仿宋_GB2312" w:hAnsi="仿宋_GB2312"/>
                <w:color w:val="000000"/>
                <w:spacing w:val="-10"/>
                <w:sz w:val="28"/>
                <w:szCs w:val="28"/>
              </w:rPr>
              <w:t>“十四五”期间，每个旗县区至少培育打造一个自治区级家政康养服务职业培训示范基地，家政、康养服务从业人员职业技能培训每年3千人以上。</w:t>
            </w:r>
          </w:p>
          <w:p w14:paraId="573E64D2">
            <w:pPr>
              <w:spacing w:line="560" w:lineRule="exact"/>
              <w:rPr>
                <w:rFonts w:ascii="仿宋_GB2312" w:hAnsi="仿宋_GB2312"/>
                <w:b/>
                <w:color w:val="000000"/>
                <w:spacing w:val="-10"/>
                <w:sz w:val="28"/>
                <w:szCs w:val="28"/>
              </w:rPr>
            </w:pPr>
            <w:r>
              <w:rPr>
                <w:rFonts w:ascii="仿宋_GB2312" w:hAnsi="仿宋_GB2312"/>
                <w:color w:val="000000"/>
                <w:spacing w:val="-10"/>
                <w:sz w:val="28"/>
                <w:szCs w:val="28"/>
              </w:rPr>
              <w:t xml:space="preserve">    2.</w:t>
            </w:r>
            <w:r>
              <w:rPr>
                <w:rFonts w:ascii="仿宋_GB2312" w:hAnsi="仿宋_GB2312"/>
                <w:b/>
                <w:color w:val="000000"/>
                <w:spacing w:val="-10"/>
                <w:sz w:val="28"/>
                <w:szCs w:val="28"/>
              </w:rPr>
              <w:t>推进就业技能实训基地建设项目</w:t>
            </w:r>
          </w:p>
          <w:p w14:paraId="0FAEB797">
            <w:pPr>
              <w:spacing w:line="560" w:lineRule="exact"/>
              <w:rPr>
                <w:rFonts w:ascii="仿宋_GB2312" w:hAnsi="仿宋_GB2312"/>
                <w:color w:val="000000"/>
                <w:spacing w:val="-10"/>
                <w:sz w:val="28"/>
                <w:szCs w:val="28"/>
              </w:rPr>
            </w:pPr>
            <w:r>
              <w:rPr>
                <w:rFonts w:ascii="仿宋_GB2312" w:hAnsi="仿宋_GB2312"/>
                <w:color w:val="000000"/>
                <w:spacing w:val="-10"/>
                <w:sz w:val="28"/>
                <w:szCs w:val="28"/>
              </w:rPr>
              <w:t xml:space="preserve">    “十四五”期间，全市建成自治区级示范性就业技能实训基地2个，市级示范性就业技能实训基地5个。通过以奖代补项目实施奖补，构建覆盖面广、布局合理，能够基本满足高质量发展和现代经济体系建设的职业培训实训体系。</w:t>
            </w:r>
          </w:p>
          <w:p w14:paraId="3CC5D387">
            <w:pPr>
              <w:spacing w:line="560" w:lineRule="exact"/>
              <w:rPr>
                <w:rFonts w:ascii="仿宋_GB2312" w:hAnsi="仿宋_GB2312"/>
                <w:b/>
                <w:color w:val="000000"/>
                <w:spacing w:val="-10"/>
                <w:sz w:val="28"/>
                <w:szCs w:val="28"/>
              </w:rPr>
            </w:pPr>
            <w:r>
              <w:rPr>
                <w:rFonts w:ascii="仿宋_GB2312" w:hAnsi="仿宋_GB2312"/>
                <w:b/>
                <w:color w:val="000000"/>
                <w:spacing w:val="-10"/>
                <w:sz w:val="28"/>
                <w:szCs w:val="28"/>
              </w:rPr>
              <w:t xml:space="preserve">    3.公共实训基地建设项目</w:t>
            </w:r>
          </w:p>
          <w:p w14:paraId="0C50BA50">
            <w:pPr>
              <w:spacing w:line="560" w:lineRule="exact"/>
              <w:rPr>
                <w:rFonts w:ascii="仿宋_GB2312" w:hAnsi="仿宋_GB2312"/>
                <w:color w:val="000000"/>
                <w:spacing w:val="-10"/>
                <w:sz w:val="28"/>
                <w:szCs w:val="28"/>
              </w:rPr>
            </w:pPr>
            <w:r>
              <w:rPr>
                <w:rFonts w:ascii="仿宋_GB2312" w:hAnsi="仿宋_GB2312"/>
                <w:color w:val="000000"/>
                <w:spacing w:val="-10"/>
                <w:sz w:val="28"/>
                <w:szCs w:val="28"/>
              </w:rPr>
              <w:t xml:space="preserve">    建设以高技能培训、新技能开发为主的自治区级、市级公共实训基地；在市中心城区建设1-2家以中、高级技能培训为主，服务区域经济发展需求的市级公共实训基地；在旗县建设1家以初、中级技能培训和地方特色、民族产业为主，促进当地劳动力和农牧民就业的旗县级公共实训基地，到2025年形成覆盖全市的公共职业技能实训体系。</w:t>
            </w:r>
          </w:p>
        </w:tc>
      </w:tr>
    </w:tbl>
    <w:p w14:paraId="27C53B9E">
      <w:pPr>
        <w:pStyle w:val="3"/>
        <w:rPr>
          <w:rFonts w:ascii="楷体_GB2312"/>
          <w:b/>
        </w:rPr>
      </w:pPr>
      <w:r>
        <w:rPr>
          <w:rFonts w:hint="eastAsia" w:ascii="楷体_GB2312" w:hAnsi="楷体_GB2312"/>
          <w:b/>
        </w:rPr>
        <w:t xml:space="preserve">第三节 </w:t>
      </w:r>
      <w:r>
        <w:rPr>
          <w:rFonts w:ascii="楷体_GB2312" w:hAnsi="楷体_GB2312"/>
          <w:b/>
        </w:rPr>
        <w:t xml:space="preserve"> 着力促进重点群体就业</w:t>
      </w:r>
    </w:p>
    <w:p w14:paraId="548CE2C1">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把高校毕业生就业摆在重要位置，统筹实施高校毕业生就业促进计划，落实离校未就业高校毕业生实名制服务，强化就业指导、岗位推荐、就业见习、人才储备、职业培训等服务，健全困难高校毕业生就业援助机制。持续拓宽高校毕业生市场化社会化就业渠道，引导高校毕业生在冶金、能源、化工、医药、食品、纺织以及新业态等行业实现就业。高度重视城镇青年就业，完善就业支持体系，开发更多适合城镇青年的就业岗位。增强城镇青年职业发展能力，支持城镇青年参加职业指导、创业实践、职业培训等活动。加强区域劳务协作，促进农村牧区富余劳动力转移就业。鼓励各类企业、建设项目吸纳农村牧区劳动力就业，实现就近就地就业。加强对就业困难人员的就业援助，开展针对性、适应性职业指导和技能培训，通过公益性岗位安置等方式兜底保障就业，确保零就业家庭动态清零。积极搭建退役军人就业平台，多渠道、多方式促进残疾人就业创业。</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14:paraId="334C6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9" w:type="dxa"/>
            <w:tcBorders>
              <w:top w:val="single" w:color="000000" w:sz="4" w:space="0"/>
              <w:left w:val="single" w:color="000000" w:sz="4" w:space="0"/>
              <w:bottom w:val="single" w:color="000000" w:sz="4" w:space="0"/>
              <w:right w:val="single" w:color="000000" w:sz="4" w:space="0"/>
            </w:tcBorders>
          </w:tcPr>
          <w:p w14:paraId="3BE3F575">
            <w:pPr>
              <w:spacing w:line="560" w:lineRule="exact"/>
              <w:jc w:val="center"/>
              <w:rPr>
                <w:rFonts w:ascii="黑体" w:hAnsi="黑体" w:eastAsia="黑体" w:cs="仿宋_GB2312"/>
                <w:color w:val="000000"/>
                <w:spacing w:val="-10"/>
                <w:sz w:val="32"/>
                <w:szCs w:val="32"/>
              </w:rPr>
            </w:pPr>
            <w:r>
              <w:rPr>
                <w:rFonts w:hint="eastAsia" w:ascii="黑体" w:hAnsi="黑体" w:eastAsia="黑体" w:cs="仿宋_GB2312"/>
                <w:color w:val="000000"/>
                <w:spacing w:val="-10"/>
                <w:sz w:val="32"/>
                <w:szCs w:val="32"/>
              </w:rPr>
              <w:t>专栏4  重点群体就业工程</w:t>
            </w:r>
          </w:p>
        </w:tc>
      </w:tr>
      <w:tr w14:paraId="71119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9" w:type="dxa"/>
            <w:tcBorders>
              <w:top w:val="single" w:color="000000" w:sz="4" w:space="0"/>
              <w:left w:val="single" w:color="000000" w:sz="4" w:space="0"/>
              <w:bottom w:val="single" w:color="000000" w:sz="4" w:space="0"/>
              <w:right w:val="single" w:color="000000" w:sz="4" w:space="0"/>
            </w:tcBorders>
          </w:tcPr>
          <w:p w14:paraId="14133E13">
            <w:pPr>
              <w:spacing w:line="560" w:lineRule="exact"/>
              <w:rPr>
                <w:rFonts w:hint="eastAsia" w:ascii="仿宋_GB2312" w:hAnsi="仿宋_GB2312"/>
                <w:b/>
                <w:color w:val="000000"/>
                <w:spacing w:val="-10"/>
                <w:sz w:val="28"/>
                <w:szCs w:val="28"/>
              </w:rPr>
            </w:pPr>
            <w:r>
              <w:rPr>
                <w:rFonts w:ascii="仿宋_GB2312" w:hAnsi="仿宋_GB2312"/>
                <w:b/>
                <w:color w:val="000000"/>
                <w:spacing w:val="-10"/>
                <w:sz w:val="28"/>
                <w:szCs w:val="28"/>
              </w:rPr>
              <w:t xml:space="preserve">    1.高校毕业生基层就业促进项目</w:t>
            </w:r>
          </w:p>
          <w:p w14:paraId="4141258F">
            <w:pPr>
              <w:spacing w:line="560" w:lineRule="exact"/>
              <w:ind w:firstLine="520" w:firstLineChars="200"/>
              <w:rPr>
                <w:rFonts w:ascii="仿宋_GB2312" w:hAnsi="仿宋_GB2312"/>
                <w:color w:val="000000"/>
                <w:spacing w:val="-10"/>
                <w:sz w:val="28"/>
                <w:szCs w:val="28"/>
              </w:rPr>
            </w:pPr>
            <w:r>
              <w:rPr>
                <w:rFonts w:ascii="仿宋_GB2312" w:hAnsi="仿宋_GB2312"/>
                <w:color w:val="000000"/>
                <w:spacing w:val="-10"/>
                <w:sz w:val="28"/>
                <w:szCs w:val="28"/>
              </w:rPr>
              <w:t>在统筹实施“三支一扶”、社区民生志愿服务等项目基础上，加大鼓励引导高校毕业生到基层就业创业支持力度，制定政府开发社会管理和公共服务岗位工作方案和管理办法，“十四五”期间，在全市开发1200个以上基层岗位用于吸纳择业期内未就业高校毕业生。</w:t>
            </w:r>
          </w:p>
          <w:p w14:paraId="7B4AC3CD">
            <w:pPr>
              <w:spacing w:line="560" w:lineRule="exact"/>
              <w:rPr>
                <w:rFonts w:ascii="仿宋_GB2312" w:hAnsi="仿宋_GB2312"/>
                <w:b/>
                <w:color w:val="000000"/>
                <w:spacing w:val="-10"/>
                <w:sz w:val="28"/>
                <w:szCs w:val="28"/>
              </w:rPr>
            </w:pPr>
            <w:r>
              <w:rPr>
                <w:rFonts w:ascii="仿宋_GB2312" w:hAnsi="仿宋_GB2312"/>
                <w:b/>
                <w:color w:val="000000"/>
                <w:spacing w:val="-10"/>
                <w:sz w:val="28"/>
                <w:szCs w:val="28"/>
              </w:rPr>
              <w:t xml:space="preserve">    2.离校未就业高校毕业生实名制服务项目</w:t>
            </w:r>
          </w:p>
          <w:p w14:paraId="7E467C0A">
            <w:pPr>
              <w:spacing w:line="560" w:lineRule="exact"/>
              <w:ind w:firstLine="520" w:firstLineChars="200"/>
              <w:rPr>
                <w:rFonts w:ascii="仿宋_GB2312" w:hAnsi="仿宋_GB2312"/>
                <w:color w:val="000000"/>
                <w:spacing w:val="-10"/>
                <w:sz w:val="30"/>
                <w:szCs w:val="30"/>
              </w:rPr>
            </w:pPr>
            <w:r>
              <w:rPr>
                <w:rFonts w:ascii="仿宋_GB2312" w:hAnsi="仿宋_GB2312"/>
                <w:color w:val="000000"/>
                <w:spacing w:val="-10"/>
                <w:sz w:val="28"/>
                <w:szCs w:val="28"/>
              </w:rPr>
              <w:t>健全完善离校未就业高校毕业生实名制信息数据库，加强户籍地、求职地、学籍地之间的政策和服务协同，提供就业指导、创业跟踪、职业培训、就业对接，组织就业见习等服务，促进离校未就业高校毕业生实现就业。</w:t>
            </w:r>
          </w:p>
        </w:tc>
      </w:tr>
    </w:tbl>
    <w:p w14:paraId="4A53954C">
      <w:pPr>
        <w:pStyle w:val="3"/>
        <w:rPr>
          <w:rFonts w:ascii="楷体_GB2312"/>
          <w:b/>
        </w:rPr>
      </w:pPr>
      <w:r>
        <w:rPr>
          <w:rFonts w:hint="eastAsia" w:ascii="楷体_GB2312" w:hAnsi="楷体_GB2312"/>
          <w:b/>
        </w:rPr>
        <w:t xml:space="preserve">第四节 </w:t>
      </w:r>
      <w:r>
        <w:rPr>
          <w:rFonts w:ascii="楷体_GB2312" w:hAnsi="楷体_GB2312"/>
          <w:b/>
        </w:rPr>
        <w:t xml:space="preserve"> 促进创业带动就业</w:t>
      </w:r>
    </w:p>
    <w:p w14:paraId="039366B2">
      <w:pPr>
        <w:spacing w:line="560" w:lineRule="exact"/>
        <w:ind w:firstLine="640" w:firstLineChars="200"/>
        <w:rPr>
          <w:rFonts w:ascii="仿宋_GB2312" w:hAnsi="仿宋_GB2312"/>
          <w:sz w:val="32"/>
          <w:szCs w:val="32"/>
        </w:rPr>
      </w:pPr>
      <w:r>
        <w:rPr>
          <w:rFonts w:ascii="仿宋_GB2312" w:hAnsi="仿宋_GB2312"/>
          <w:sz w:val="32"/>
          <w:szCs w:val="32"/>
        </w:rPr>
        <w:t>以“创业赤峰”工程为统揽，通过构建区域性、综合性的闭环创业生态系统，持续打造赤峰双创升级版，进一步释放创业带动就业效应。强化创业园建设，大力发展市场化、专业化创业孵化载体和创业园区，开展示范性创业园和创业孵化基地、创业示范店认定工作。完善创业群，推进创业者联盟建设，完善创业协作发展机制。开展创业课，依托创业载体，提升线上线下创业服务能力，打造培训学习、创业实践、咨询指导、跟踪帮扶等一体化创业培训体系，鼓励各类院校开展形式多样的创业教育。举办创业赛，精心组织各级各类创业推进活动。打造创业板，构建创业担保贷款、商业贷款、投融资并存的多层次创业资金支持体系。建设创业云，大力培育创新创业公共平台，充分利用“互联网+创业服务”，提升创业服务水平。</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14:paraId="0A531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9" w:type="dxa"/>
            <w:tcBorders>
              <w:top w:val="single" w:color="000000" w:sz="4" w:space="0"/>
              <w:left w:val="single" w:color="000000" w:sz="4" w:space="0"/>
              <w:bottom w:val="single" w:color="000000" w:sz="4" w:space="0"/>
              <w:right w:val="single" w:color="000000" w:sz="4" w:space="0"/>
            </w:tcBorders>
          </w:tcPr>
          <w:p w14:paraId="48D76539">
            <w:pPr>
              <w:spacing w:line="560" w:lineRule="exact"/>
              <w:jc w:val="center"/>
              <w:rPr>
                <w:rFonts w:ascii="黑体" w:hAnsi="黑体" w:eastAsia="黑体" w:cs="仿宋_GB2312"/>
                <w:color w:val="000000"/>
                <w:spacing w:val="-10"/>
                <w:sz w:val="32"/>
                <w:szCs w:val="32"/>
              </w:rPr>
            </w:pPr>
            <w:r>
              <w:rPr>
                <w:rFonts w:hint="eastAsia" w:ascii="黑体" w:hAnsi="黑体" w:eastAsia="黑体" w:cs="仿宋_GB2312"/>
                <w:color w:val="000000"/>
                <w:spacing w:val="-10"/>
                <w:sz w:val="32"/>
                <w:szCs w:val="32"/>
              </w:rPr>
              <w:t>专栏5  创业带动就业工程</w:t>
            </w:r>
          </w:p>
        </w:tc>
      </w:tr>
      <w:tr w14:paraId="55CA9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9" w:type="dxa"/>
            <w:tcBorders>
              <w:top w:val="single" w:color="000000" w:sz="4" w:space="0"/>
              <w:left w:val="single" w:color="000000" w:sz="4" w:space="0"/>
              <w:bottom w:val="single" w:color="000000" w:sz="4" w:space="0"/>
              <w:right w:val="single" w:color="000000" w:sz="4" w:space="0"/>
            </w:tcBorders>
          </w:tcPr>
          <w:p w14:paraId="316B6227">
            <w:pPr>
              <w:spacing w:line="560" w:lineRule="exact"/>
              <w:rPr>
                <w:rFonts w:hint="eastAsia" w:ascii="仿宋_GB2312" w:hAnsi="仿宋_GB2312"/>
                <w:b/>
                <w:color w:val="000000"/>
                <w:sz w:val="28"/>
                <w:szCs w:val="28"/>
              </w:rPr>
            </w:pPr>
            <w:r>
              <w:rPr>
                <w:rFonts w:ascii="仿宋_GB2312" w:hAnsi="仿宋_GB2312"/>
                <w:b/>
                <w:color w:val="000000"/>
                <w:spacing w:val="-10"/>
                <w:sz w:val="28"/>
                <w:szCs w:val="28"/>
              </w:rPr>
              <w:t xml:space="preserve">    1.</w:t>
            </w:r>
            <w:r>
              <w:rPr>
                <w:rFonts w:ascii="仿宋_GB2312" w:hAnsi="仿宋_GB2312"/>
                <w:b/>
                <w:color w:val="000000"/>
                <w:sz w:val="28"/>
                <w:szCs w:val="28"/>
              </w:rPr>
              <w:t>创业园（孵化基地）建设项目</w:t>
            </w:r>
          </w:p>
          <w:p w14:paraId="7FA13A2C">
            <w:pPr>
              <w:spacing w:line="560" w:lineRule="exact"/>
              <w:ind w:firstLine="560" w:firstLineChars="200"/>
              <w:rPr>
                <w:rFonts w:ascii="仿宋_GB2312" w:hAnsi="仿宋_GB2312"/>
                <w:color w:val="000000"/>
                <w:spacing w:val="-10"/>
                <w:kern w:val="0"/>
                <w:sz w:val="28"/>
                <w:szCs w:val="28"/>
              </w:rPr>
            </w:pPr>
            <w:r>
              <w:rPr>
                <w:rFonts w:ascii="仿宋_GB2312" w:hAnsi="仿宋_GB2312"/>
                <w:color w:val="000000"/>
                <w:sz w:val="28"/>
                <w:szCs w:val="28"/>
              </w:rPr>
              <w:t>继续实施创业园（孵化基地）以奖代补项目，开展示范性创业园（孵化基地</w:t>
            </w:r>
            <w:r>
              <w:rPr>
                <w:rFonts w:ascii="仿宋_GB2312" w:hAnsi="仿宋_GB2312"/>
                <w:color w:val="000000"/>
                <w:spacing w:val="-10"/>
                <w:kern w:val="0"/>
                <w:sz w:val="28"/>
                <w:szCs w:val="28"/>
              </w:rPr>
              <w:t>）和“四众”创业支撑平台申报，引导建设功能齐全、服务优质、承载力强、孵化成功率高的示范性创业园（孵化基地），“十四五”期间，每个旗县争取打造1—2家面向高校毕业生、返乡农牧民工等重点群体就业创业的具有示范带动效应、与区域优势产业高度契合的创业园、创业孵化基地。</w:t>
            </w:r>
          </w:p>
          <w:p w14:paraId="6741992D">
            <w:pPr>
              <w:spacing w:line="560" w:lineRule="exact"/>
              <w:rPr>
                <w:rFonts w:ascii="仿宋_GB2312" w:hAnsi="仿宋_GB2312"/>
                <w:b/>
                <w:color w:val="000000"/>
                <w:sz w:val="28"/>
                <w:szCs w:val="28"/>
              </w:rPr>
            </w:pPr>
            <w:r>
              <w:rPr>
                <w:rFonts w:ascii="仿宋_GB2312" w:hAnsi="仿宋_GB2312"/>
                <w:b/>
                <w:color w:val="000000"/>
                <w:sz w:val="28"/>
                <w:szCs w:val="28"/>
              </w:rPr>
              <w:t xml:space="preserve">    2.创业培训师资队伍培养项目</w:t>
            </w:r>
          </w:p>
          <w:p w14:paraId="5A9E4277">
            <w:pPr>
              <w:spacing w:line="560" w:lineRule="exact"/>
              <w:ind w:firstLine="520" w:firstLineChars="200"/>
              <w:rPr>
                <w:rFonts w:ascii="仿宋_GB2312" w:hAnsi="仿宋_GB2312"/>
                <w:color w:val="000000"/>
                <w:spacing w:val="-10"/>
                <w:kern w:val="0"/>
                <w:sz w:val="28"/>
                <w:szCs w:val="28"/>
              </w:rPr>
            </w:pPr>
            <w:r>
              <w:rPr>
                <w:rFonts w:ascii="仿宋_GB2312" w:hAnsi="仿宋_GB2312"/>
                <w:color w:val="000000"/>
                <w:spacing w:val="-10"/>
                <w:kern w:val="0"/>
                <w:sz w:val="28"/>
                <w:szCs w:val="28"/>
              </w:rPr>
              <w:t>加大SIYB师资（含网络创业培训）队伍建设力度，举办创业培训讲师大赛、创业培训优秀讲师示范教学等活动，搭建创业培训师资交流提高平台。</w:t>
            </w:r>
          </w:p>
          <w:p w14:paraId="0468B762">
            <w:pPr>
              <w:spacing w:line="560" w:lineRule="exact"/>
              <w:rPr>
                <w:rFonts w:ascii="仿宋_GB2312" w:hAnsi="仿宋_GB2312"/>
                <w:b/>
                <w:color w:val="000000"/>
                <w:sz w:val="28"/>
                <w:szCs w:val="28"/>
              </w:rPr>
            </w:pPr>
            <w:r>
              <w:rPr>
                <w:rFonts w:ascii="仿宋_GB2312" w:hAnsi="仿宋_GB2312"/>
                <w:b/>
                <w:color w:val="000000"/>
                <w:sz w:val="28"/>
                <w:szCs w:val="28"/>
              </w:rPr>
              <w:t xml:space="preserve">    3.创业导师库建设项目</w:t>
            </w:r>
          </w:p>
          <w:p w14:paraId="404FF083">
            <w:pPr>
              <w:spacing w:line="560" w:lineRule="exact"/>
              <w:ind w:firstLine="520" w:firstLineChars="200"/>
              <w:rPr>
                <w:rFonts w:ascii="仿宋_GB2312" w:hAnsi="仿宋_GB2312"/>
                <w:color w:val="000000"/>
                <w:spacing w:val="-10"/>
                <w:sz w:val="30"/>
                <w:szCs w:val="30"/>
              </w:rPr>
            </w:pPr>
            <w:r>
              <w:rPr>
                <w:rFonts w:ascii="仿宋_GB2312" w:hAnsi="仿宋_GB2312"/>
                <w:color w:val="000000"/>
                <w:spacing w:val="-10"/>
                <w:kern w:val="0"/>
                <w:sz w:val="28"/>
                <w:szCs w:val="28"/>
              </w:rPr>
              <w:t>依托全国创业培训讲师大赛，组织创业师资培训、地方性师资比赛等，通过比赛，挖掘优秀创业培训讲师，打造一支多层次多类型的专业性创业培训师资队伍。组织协调创业培训师、企业家、科技人员等成立创业导师专家库，培育一支高水平、专兼职创业导师队伍。</w:t>
            </w:r>
          </w:p>
        </w:tc>
      </w:tr>
    </w:tbl>
    <w:p w14:paraId="58146FAE">
      <w:pPr>
        <w:pStyle w:val="3"/>
        <w:rPr>
          <w:rFonts w:ascii="楷体_GB2312"/>
          <w:b/>
        </w:rPr>
      </w:pPr>
      <w:r>
        <w:rPr>
          <w:rFonts w:hint="eastAsia" w:ascii="楷体_GB2312" w:hAnsi="楷体_GB2312"/>
          <w:b/>
        </w:rPr>
        <w:t xml:space="preserve">第五节 </w:t>
      </w:r>
      <w:r>
        <w:rPr>
          <w:rFonts w:ascii="楷体_GB2312" w:hAnsi="楷体_GB2312"/>
          <w:b/>
        </w:rPr>
        <w:t xml:space="preserve"> 培育就业新动能</w:t>
      </w:r>
    </w:p>
    <w:p w14:paraId="230D43E0">
      <w:pPr>
        <w:spacing w:line="560" w:lineRule="exact"/>
        <w:ind w:firstLine="640" w:firstLineChars="200"/>
        <w:rPr>
          <w:rFonts w:ascii="仿宋_GB2312" w:hAnsi="仿宋_GB2312"/>
          <w:sz w:val="32"/>
          <w:szCs w:val="32"/>
        </w:rPr>
      </w:pPr>
      <w:r>
        <w:rPr>
          <w:rFonts w:ascii="仿宋_GB2312" w:hAnsi="仿宋_GB2312"/>
          <w:sz w:val="32"/>
          <w:szCs w:val="32"/>
        </w:rPr>
        <w:t>支持多渠道灵活就业和新就业形态发展，破除各种不合理限制，促进多渠道灵活就业，支持和规范发展新就业形态。促进数字经济领域就业创业，深入推进数字经济发展战略，围绕全市数字产业集群发展，培育多元化多层次就业需求。持续提升劳动者数字就业能力，以赤峰市数字创意产教融合基地为重点，打造集技能培训、智库资源、创意研发、实习实训、就业推荐、创业孵化等功能的综合性数字经济就业创业平台。深入落实《关于维护新就业形态劳动者劳动保障权益的指导意见》，引导支持灵活就业人员和新就业形态劳动者参加社会保险，提高该群体的社会保障水平。</w:t>
      </w:r>
    </w:p>
    <w:p w14:paraId="4EF19DCC">
      <w:pPr>
        <w:pStyle w:val="3"/>
        <w:rPr>
          <w:rFonts w:ascii="楷体_GB2312"/>
          <w:b/>
        </w:rPr>
      </w:pPr>
      <w:r>
        <w:rPr>
          <w:rFonts w:hint="eastAsia" w:ascii="楷体_GB2312" w:hAnsi="楷体_GB2312"/>
          <w:b/>
        </w:rPr>
        <w:t xml:space="preserve">第六节 </w:t>
      </w:r>
      <w:r>
        <w:rPr>
          <w:rFonts w:ascii="楷体_GB2312" w:hAnsi="楷体_GB2312"/>
          <w:b/>
        </w:rPr>
        <w:t xml:space="preserve"> 健全全方位公共就业服务体系</w:t>
      </w:r>
    </w:p>
    <w:p w14:paraId="263F8882">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健全覆盖城乡的四级公共就业服务体系，完善信息、岗位、政策、培训、服务“五个对接”的工作机制。加强供需调查、信息对接、精准培训、跟踪服务“四位一体”公共就业服务云平台建设，全方位提供高效便捷的公共就业服务。开展“春风行动”、“就业援助月”、“民营企业招聘周”等公共就业服务活动，促进用人单位和劳动者有效匹配。打造突出我市产业和市场需求的培训服务平台，促进实现企业、培训机构、劳动者在供求信息上传递反馈三方联动，推动实现培训需求和供给需求精准对接。</w:t>
      </w:r>
    </w:p>
    <w:tbl>
      <w:tblPr>
        <w:tblStyle w:val="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88"/>
      </w:tblGrid>
      <w:tr w14:paraId="2515B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31" w:type="dxa"/>
            <w:tcBorders>
              <w:top w:val="single" w:color="000000" w:sz="4" w:space="0"/>
              <w:left w:val="single" w:color="000000" w:sz="4" w:space="0"/>
              <w:bottom w:val="single" w:color="000000" w:sz="4" w:space="0"/>
              <w:right w:val="single" w:color="000000" w:sz="4" w:space="0"/>
            </w:tcBorders>
          </w:tcPr>
          <w:p w14:paraId="6E649E31">
            <w:pPr>
              <w:spacing w:line="560" w:lineRule="exact"/>
              <w:jc w:val="center"/>
              <w:rPr>
                <w:rFonts w:ascii="黑体" w:hAnsi="黑体" w:eastAsia="黑体" w:cs="仿宋_GB2312"/>
                <w:color w:val="000000"/>
                <w:spacing w:val="-10"/>
                <w:sz w:val="32"/>
                <w:szCs w:val="32"/>
              </w:rPr>
            </w:pPr>
            <w:r>
              <w:rPr>
                <w:rFonts w:hint="eastAsia" w:ascii="黑体" w:hAnsi="黑体" w:eastAsia="黑体" w:cs="仿宋_GB2312"/>
                <w:color w:val="000000"/>
                <w:spacing w:val="-10"/>
                <w:sz w:val="32"/>
                <w:szCs w:val="32"/>
              </w:rPr>
              <w:t>专栏6  就业服务质量提升工程</w:t>
            </w:r>
          </w:p>
        </w:tc>
      </w:tr>
      <w:tr w14:paraId="657CA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31" w:type="dxa"/>
            <w:tcBorders>
              <w:top w:val="single" w:color="000000" w:sz="4" w:space="0"/>
              <w:left w:val="single" w:color="000000" w:sz="4" w:space="0"/>
              <w:bottom w:val="single" w:color="000000" w:sz="4" w:space="0"/>
              <w:right w:val="single" w:color="000000" w:sz="4" w:space="0"/>
            </w:tcBorders>
          </w:tcPr>
          <w:p w14:paraId="4DDF216B">
            <w:pPr>
              <w:spacing w:line="560" w:lineRule="exact"/>
              <w:rPr>
                <w:rFonts w:hint="eastAsia" w:ascii="仿宋_GB2312" w:hAnsi="仿宋_GB2312"/>
                <w:b/>
                <w:bCs/>
                <w:color w:val="000000"/>
                <w:spacing w:val="-10"/>
                <w:kern w:val="0"/>
                <w:sz w:val="28"/>
                <w:szCs w:val="28"/>
              </w:rPr>
            </w:pPr>
            <w:r>
              <w:rPr>
                <w:rFonts w:ascii="仿宋_GB2312" w:hAnsi="仿宋_GB2312"/>
                <w:b/>
                <w:bCs/>
                <w:color w:val="000000"/>
                <w:spacing w:val="-10"/>
                <w:kern w:val="0"/>
                <w:sz w:val="28"/>
                <w:szCs w:val="28"/>
              </w:rPr>
              <w:t xml:space="preserve">    1.就业创业服务信息化提升工程</w:t>
            </w:r>
          </w:p>
          <w:p w14:paraId="0411E123">
            <w:pPr>
              <w:spacing w:line="560" w:lineRule="exact"/>
              <w:ind w:firstLine="520" w:firstLineChars="200"/>
              <w:rPr>
                <w:rFonts w:ascii="仿宋_GB2312" w:hAnsi="仿宋_GB2312"/>
                <w:color w:val="000000"/>
                <w:spacing w:val="-10"/>
                <w:kern w:val="0"/>
                <w:sz w:val="28"/>
                <w:szCs w:val="28"/>
              </w:rPr>
            </w:pPr>
            <w:r>
              <w:rPr>
                <w:rFonts w:ascii="仿宋_GB2312" w:hAnsi="仿宋_GB2312"/>
                <w:color w:val="000000"/>
                <w:spacing w:val="-10"/>
                <w:kern w:val="0"/>
                <w:sz w:val="28"/>
                <w:szCs w:val="28"/>
              </w:rPr>
              <w:t>依托自治区就业创业服务信息化提升工程，建立全市统一的就业信息资源库，形成就业管理和就业服务工作全程信息化。支持社会服务机构利用政府数据开展专业化就业服务，实现市级就业创业数据部门共享。</w:t>
            </w:r>
          </w:p>
          <w:p w14:paraId="3CF6B855">
            <w:pPr>
              <w:spacing w:line="560" w:lineRule="exact"/>
              <w:rPr>
                <w:rFonts w:ascii="仿宋_GB2312" w:hAnsi="仿宋_GB2312"/>
                <w:b/>
                <w:bCs/>
                <w:color w:val="000000"/>
                <w:spacing w:val="-10"/>
                <w:kern w:val="0"/>
                <w:sz w:val="28"/>
                <w:szCs w:val="28"/>
              </w:rPr>
            </w:pPr>
            <w:r>
              <w:rPr>
                <w:rFonts w:ascii="仿宋_GB2312" w:hAnsi="仿宋_GB2312"/>
                <w:b/>
                <w:bCs/>
                <w:color w:val="000000"/>
                <w:spacing w:val="-10"/>
                <w:kern w:val="0"/>
                <w:sz w:val="28"/>
                <w:szCs w:val="28"/>
              </w:rPr>
              <w:t xml:space="preserve">    2.基层就业和社会保障综合服务平台建设项目</w:t>
            </w:r>
          </w:p>
          <w:p w14:paraId="600A6CB1">
            <w:pPr>
              <w:spacing w:line="560" w:lineRule="exact"/>
              <w:ind w:firstLine="520" w:firstLineChars="200"/>
              <w:rPr>
                <w:rFonts w:ascii="仿宋_GB2312" w:hAnsi="仿宋_GB2312"/>
                <w:color w:val="000000"/>
                <w:spacing w:val="-10"/>
                <w:kern w:val="0"/>
                <w:sz w:val="28"/>
                <w:szCs w:val="28"/>
              </w:rPr>
            </w:pPr>
            <w:r>
              <w:rPr>
                <w:rFonts w:ascii="仿宋_GB2312" w:hAnsi="仿宋_GB2312"/>
                <w:color w:val="000000"/>
                <w:spacing w:val="-10"/>
                <w:kern w:val="0"/>
                <w:sz w:val="28"/>
                <w:szCs w:val="28"/>
              </w:rPr>
              <w:t>依托国家、自治区就业和社会保障公共服务基础设施建设项目，进一步加强旗县、苏木乡镇（街道）两级就业和社会保障综合服务平台建设，改善全市人力资源、社保经办服务条件。</w:t>
            </w:r>
          </w:p>
          <w:p w14:paraId="0AF8BE03">
            <w:pPr>
              <w:spacing w:line="560" w:lineRule="exact"/>
              <w:rPr>
                <w:rFonts w:ascii="仿宋_GB2312" w:hAnsi="仿宋_GB2312"/>
                <w:color w:val="000000"/>
                <w:spacing w:val="-10"/>
                <w:kern w:val="0"/>
                <w:sz w:val="28"/>
                <w:szCs w:val="28"/>
              </w:rPr>
            </w:pPr>
            <w:r>
              <w:rPr>
                <w:rFonts w:ascii="仿宋_GB2312" w:hAnsi="仿宋_GB2312"/>
                <w:b/>
                <w:bCs/>
                <w:color w:val="000000"/>
                <w:spacing w:val="-10"/>
                <w:kern w:val="0"/>
                <w:sz w:val="28"/>
                <w:szCs w:val="28"/>
              </w:rPr>
              <w:t xml:space="preserve">    3.公共就业服务能力提升计划</w:t>
            </w:r>
          </w:p>
          <w:p w14:paraId="039E284C">
            <w:pPr>
              <w:spacing w:line="560" w:lineRule="exact"/>
              <w:ind w:firstLine="520" w:firstLineChars="200"/>
              <w:rPr>
                <w:rFonts w:ascii="仿宋_GB2312" w:hAnsi="仿宋_GB2312"/>
                <w:color w:val="000000"/>
                <w:spacing w:val="-10"/>
                <w:kern w:val="0"/>
                <w:sz w:val="28"/>
                <w:szCs w:val="28"/>
              </w:rPr>
            </w:pPr>
            <w:r>
              <w:rPr>
                <w:rFonts w:ascii="仿宋_GB2312" w:hAnsi="仿宋_GB2312"/>
                <w:color w:val="000000"/>
                <w:spacing w:val="-10"/>
                <w:kern w:val="0"/>
                <w:sz w:val="28"/>
                <w:szCs w:val="28"/>
              </w:rPr>
              <w:t>利用就业信息服务与统计监测经费，开展基层平台工作人员的政策和业务培训，全市每年培训1000人以上。</w:t>
            </w:r>
          </w:p>
        </w:tc>
      </w:tr>
    </w:tbl>
    <w:p w14:paraId="7B6E03F3">
      <w:pPr>
        <w:pStyle w:val="2"/>
        <w:spacing w:before="0" w:after="0" w:line="560" w:lineRule="exact"/>
        <w:jc w:val="center"/>
        <w:rPr>
          <w:rFonts w:ascii="黑体" w:hAnsi="黑体" w:eastAsia="黑体"/>
          <w:b w:val="0"/>
          <w:sz w:val="32"/>
          <w:szCs w:val="32"/>
        </w:rPr>
      </w:pPr>
      <w:r>
        <w:rPr>
          <w:rFonts w:hint="eastAsia" w:ascii="黑体" w:hAnsi="黑体" w:eastAsia="黑体"/>
          <w:b w:val="0"/>
          <w:sz w:val="32"/>
          <w:szCs w:val="32"/>
        </w:rPr>
        <w:t xml:space="preserve"> </w:t>
      </w:r>
    </w:p>
    <w:p w14:paraId="469A86E0">
      <w:pPr>
        <w:rPr>
          <w:rFonts w:hint="eastAsia"/>
        </w:rPr>
      </w:pPr>
      <w:r>
        <w:t xml:space="preserve"> </w:t>
      </w:r>
    </w:p>
    <w:p w14:paraId="3135141F">
      <w:r>
        <w:t xml:space="preserve"> </w:t>
      </w:r>
    </w:p>
    <w:p w14:paraId="5C51AD72">
      <w:r>
        <w:t xml:space="preserve"> </w:t>
      </w:r>
    </w:p>
    <w:p w14:paraId="4477D37E">
      <w:r>
        <w:t xml:space="preserve"> </w:t>
      </w:r>
    </w:p>
    <w:p w14:paraId="43F963E3">
      <w:r>
        <w:t xml:space="preserve"> </w:t>
      </w:r>
    </w:p>
    <w:p w14:paraId="5179D082">
      <w:r>
        <w:t xml:space="preserve"> </w:t>
      </w:r>
    </w:p>
    <w:p w14:paraId="4940EB49">
      <w:r>
        <w:t xml:space="preserve"> </w:t>
      </w:r>
    </w:p>
    <w:p w14:paraId="5A8F241D">
      <w:r>
        <w:t xml:space="preserve"> </w:t>
      </w:r>
    </w:p>
    <w:p w14:paraId="40694926">
      <w:r>
        <w:t xml:space="preserve"> </w:t>
      </w:r>
    </w:p>
    <w:p w14:paraId="2227FDC4">
      <w:r>
        <w:t xml:space="preserve"> </w:t>
      </w:r>
    </w:p>
    <w:p w14:paraId="733EFC33">
      <w:pPr>
        <w:rPr>
          <w:rFonts w:ascii="宋体" w:hAnsi="宋体"/>
        </w:rPr>
      </w:pPr>
      <w:r>
        <w:rPr>
          <w:rFonts w:hint="eastAsia" w:ascii="宋体" w:hAnsi="宋体"/>
        </w:rPr>
        <w:t xml:space="preserve"> </w:t>
      </w:r>
    </w:p>
    <w:p w14:paraId="525E32FA">
      <w:pPr>
        <w:rPr>
          <w:rFonts w:hint="eastAsia" w:ascii="宋体" w:hAnsi="宋体"/>
        </w:rPr>
      </w:pPr>
      <w:r>
        <w:rPr>
          <w:rFonts w:hint="eastAsia" w:ascii="宋体" w:hAnsi="宋体"/>
        </w:rPr>
        <w:t xml:space="preserve"> </w:t>
      </w:r>
    </w:p>
    <w:p w14:paraId="02D683CE">
      <w:pPr>
        <w:pStyle w:val="2"/>
        <w:spacing w:before="0" w:after="0" w:line="560" w:lineRule="exact"/>
        <w:jc w:val="center"/>
        <w:rPr>
          <w:rFonts w:hint="eastAsia" w:ascii="黑体" w:hAnsi="黑体" w:eastAsia="黑体"/>
          <w:b w:val="0"/>
          <w:sz w:val="32"/>
          <w:szCs w:val="32"/>
        </w:rPr>
      </w:pPr>
      <w:r>
        <w:rPr>
          <w:rFonts w:hint="eastAsia" w:ascii="黑体" w:hAnsi="黑体" w:eastAsia="黑体"/>
          <w:b w:val="0"/>
          <w:sz w:val="32"/>
          <w:szCs w:val="32"/>
        </w:rPr>
        <w:t xml:space="preserve">第三章 </w:t>
      </w:r>
      <w:r>
        <w:rPr>
          <w:rFonts w:ascii="黑体" w:hAnsi="黑体" w:eastAsia="黑体"/>
          <w:b w:val="0"/>
          <w:sz w:val="32"/>
          <w:szCs w:val="32"/>
        </w:rPr>
        <w:t xml:space="preserve"> </w:t>
      </w:r>
      <w:r>
        <w:rPr>
          <w:rFonts w:hint="eastAsia" w:ascii="黑体" w:hAnsi="黑体" w:eastAsia="黑体"/>
          <w:b w:val="0"/>
          <w:sz w:val="32"/>
          <w:szCs w:val="32"/>
        </w:rPr>
        <w:t>健全更加公平更可持续的社会保障体系</w:t>
      </w:r>
    </w:p>
    <w:p w14:paraId="7A8B2749">
      <w:pPr>
        <w:rPr>
          <w:rFonts w:hint="eastAsia" w:ascii="宋体" w:hAnsi="宋体"/>
        </w:rPr>
      </w:pPr>
      <w:r>
        <w:rPr>
          <w:rFonts w:hint="eastAsia" w:ascii="宋体" w:hAnsi="宋体"/>
        </w:rPr>
        <w:t xml:space="preserve"> </w:t>
      </w:r>
    </w:p>
    <w:p w14:paraId="476F173A">
      <w:pPr>
        <w:spacing w:line="560" w:lineRule="exact"/>
        <w:ind w:firstLine="640" w:firstLineChars="200"/>
        <w:rPr>
          <w:rFonts w:hint="eastAsia" w:ascii="仿宋_GB2312" w:hAnsi="仿宋_GB2312"/>
          <w:sz w:val="32"/>
          <w:szCs w:val="32"/>
        </w:rPr>
      </w:pPr>
      <w:r>
        <w:rPr>
          <w:rFonts w:ascii="仿宋_GB2312" w:hAnsi="仿宋_GB2312"/>
          <w:sz w:val="32"/>
          <w:szCs w:val="32"/>
        </w:rPr>
        <w:t>持续深化社会保险制度改革，扩大社会保险覆盖面，加强社会保险基金监督管理，建立健全覆盖全民、统筹城乡、公平统一、可持续的多层次社会保障体系。</w:t>
      </w:r>
    </w:p>
    <w:p w14:paraId="0BDAF8A5">
      <w:pPr>
        <w:pStyle w:val="3"/>
        <w:rPr>
          <w:rFonts w:ascii="楷体_GB2312"/>
          <w:b/>
        </w:rPr>
      </w:pPr>
      <w:r>
        <w:rPr>
          <w:rFonts w:hint="eastAsia" w:ascii="楷体_GB2312" w:hAnsi="楷体_GB2312"/>
          <w:b/>
        </w:rPr>
        <w:t xml:space="preserve">第一节 </w:t>
      </w:r>
      <w:r>
        <w:rPr>
          <w:rFonts w:ascii="楷体_GB2312" w:hAnsi="楷体_GB2312"/>
          <w:b/>
        </w:rPr>
        <w:t xml:space="preserve"> 完善覆盖全民的社会保障体系</w:t>
      </w:r>
    </w:p>
    <w:p w14:paraId="6A818CFC">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健全城乡居民基本养老保险多缴多得、长缴多得激励机制，鼓励符合条件的灵活就业人员参加城镇职工养老保险，改善参保结构，提升参保质量。巩固深化全民参保计划成果，以非公企业及其职工、农牧民工、灵活就业人员、新就业形态人员、未参保居民等群体为重点精准扩面，实现法定人员全覆盖。推进多层系社会保障体系建设，促进职业年金、企业年金和商业养老保险相互补充，发挥失业保险稳定就业、兜底保障的作用。健全预防、补偿、康复“三位一体”工伤保险体系。</w:t>
      </w:r>
    </w:p>
    <w:tbl>
      <w:tblPr>
        <w:tblStyle w:val="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88"/>
      </w:tblGrid>
      <w:tr w14:paraId="38A31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6" w:type="dxa"/>
            <w:tcBorders>
              <w:top w:val="single" w:color="000000" w:sz="4" w:space="0"/>
              <w:left w:val="single" w:color="000000" w:sz="4" w:space="0"/>
              <w:bottom w:val="single" w:color="000000" w:sz="4" w:space="0"/>
              <w:right w:val="single" w:color="000000" w:sz="4" w:space="0"/>
            </w:tcBorders>
          </w:tcPr>
          <w:p w14:paraId="070A7E7C">
            <w:pPr>
              <w:spacing w:line="560" w:lineRule="exact"/>
              <w:jc w:val="center"/>
              <w:rPr>
                <w:rFonts w:ascii="黑体" w:hAnsi="黑体" w:eastAsia="黑体" w:cs="仿宋_GB2312"/>
                <w:color w:val="000000"/>
                <w:spacing w:val="-10"/>
                <w:sz w:val="32"/>
                <w:szCs w:val="32"/>
              </w:rPr>
            </w:pPr>
            <w:r>
              <w:rPr>
                <w:rFonts w:hint="eastAsia" w:ascii="黑体" w:hAnsi="黑体" w:eastAsia="黑体" w:cs="仿宋_GB2312"/>
                <w:color w:val="000000"/>
                <w:spacing w:val="-10"/>
                <w:sz w:val="32"/>
                <w:szCs w:val="32"/>
              </w:rPr>
              <w:t>专栏7扩大社会保险覆盖范围</w:t>
            </w:r>
          </w:p>
        </w:tc>
      </w:tr>
      <w:tr w14:paraId="046B5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6" w:type="dxa"/>
            <w:tcBorders>
              <w:top w:val="single" w:color="000000" w:sz="4" w:space="0"/>
              <w:left w:val="single" w:color="000000" w:sz="4" w:space="0"/>
              <w:bottom w:val="single" w:color="000000" w:sz="4" w:space="0"/>
              <w:right w:val="single" w:color="000000" w:sz="4" w:space="0"/>
            </w:tcBorders>
          </w:tcPr>
          <w:p w14:paraId="633D132B">
            <w:pPr>
              <w:spacing w:line="560" w:lineRule="exact"/>
              <w:rPr>
                <w:rFonts w:hint="eastAsia" w:ascii="仿宋_GB2312" w:hAnsi="仿宋_GB2312"/>
                <w:b/>
                <w:color w:val="000000"/>
                <w:spacing w:val="-10"/>
                <w:kern w:val="0"/>
                <w:sz w:val="28"/>
                <w:szCs w:val="28"/>
              </w:rPr>
            </w:pPr>
            <w:r>
              <w:rPr>
                <w:rFonts w:ascii="仿宋_GB2312" w:hAnsi="仿宋_GB2312"/>
                <w:b/>
                <w:color w:val="000000"/>
                <w:spacing w:val="-10"/>
                <w:kern w:val="0"/>
                <w:sz w:val="28"/>
                <w:szCs w:val="28"/>
              </w:rPr>
              <w:t xml:space="preserve">    1.新就业形态群体参保工作</w:t>
            </w:r>
          </w:p>
          <w:p w14:paraId="39154053">
            <w:pPr>
              <w:spacing w:line="560" w:lineRule="exact"/>
              <w:rPr>
                <w:rFonts w:ascii="仿宋_GB2312" w:hAnsi="仿宋_GB2312"/>
                <w:color w:val="000000"/>
                <w:spacing w:val="-10"/>
                <w:kern w:val="0"/>
                <w:sz w:val="28"/>
                <w:szCs w:val="28"/>
              </w:rPr>
            </w:pPr>
            <w:r>
              <w:rPr>
                <w:rFonts w:ascii="仿宋_GB2312" w:hAnsi="仿宋_GB2312"/>
                <w:color w:val="000000"/>
                <w:spacing w:val="-10"/>
                <w:kern w:val="0"/>
                <w:sz w:val="28"/>
                <w:szCs w:val="28"/>
              </w:rPr>
              <w:t xml:space="preserve">    健全适应新就业形态的扩面机制，做好新就业形态从业人员、灵活就业人员的参保缴费工作，鼓励灵活就业人员、新就业形态从业人员参加城镇职工基本养老保险。</w:t>
            </w:r>
          </w:p>
          <w:p w14:paraId="7F51729C">
            <w:pPr>
              <w:spacing w:line="560" w:lineRule="exact"/>
              <w:rPr>
                <w:rFonts w:ascii="仿宋_GB2312" w:hAnsi="仿宋_GB2312"/>
                <w:b/>
                <w:color w:val="000000"/>
                <w:spacing w:val="-10"/>
                <w:kern w:val="0"/>
                <w:sz w:val="28"/>
                <w:szCs w:val="28"/>
              </w:rPr>
            </w:pPr>
            <w:r>
              <w:rPr>
                <w:rFonts w:ascii="仿宋_GB2312" w:hAnsi="仿宋_GB2312"/>
                <w:b/>
                <w:color w:val="000000"/>
                <w:spacing w:val="-10"/>
                <w:kern w:val="0"/>
                <w:sz w:val="28"/>
                <w:szCs w:val="28"/>
              </w:rPr>
              <w:t xml:space="preserve">    2.加强工伤保险参保扩面工作</w:t>
            </w:r>
          </w:p>
          <w:p w14:paraId="72A6CF4B">
            <w:pPr>
              <w:spacing w:line="560" w:lineRule="exact"/>
              <w:rPr>
                <w:rFonts w:ascii="仿宋_GB2312" w:hAnsi="仿宋_GB2312"/>
                <w:color w:val="000000"/>
                <w:spacing w:val="-10"/>
                <w:kern w:val="0"/>
                <w:sz w:val="30"/>
                <w:szCs w:val="30"/>
              </w:rPr>
            </w:pPr>
            <w:r>
              <w:rPr>
                <w:rFonts w:ascii="仿宋_GB2312" w:hAnsi="仿宋_GB2312"/>
                <w:color w:val="000000"/>
                <w:spacing w:val="-10"/>
                <w:kern w:val="0"/>
                <w:sz w:val="28"/>
                <w:szCs w:val="28"/>
              </w:rPr>
              <w:t xml:space="preserve">    开展尘肺病重点行业工伤保险扩面专项行动，持续推进建筑、交通运输、水利工程等领域按项目参保，保障更多高危高风险行业劳动者权益。</w:t>
            </w:r>
          </w:p>
        </w:tc>
      </w:tr>
    </w:tbl>
    <w:p w14:paraId="25F15E1E">
      <w:pPr>
        <w:pStyle w:val="3"/>
        <w:rPr>
          <w:rFonts w:ascii="楷体_GB2312"/>
          <w:b/>
        </w:rPr>
      </w:pPr>
      <w:r>
        <w:rPr>
          <w:rFonts w:hint="eastAsia" w:ascii="楷体_GB2312" w:hAnsi="楷体_GB2312"/>
          <w:b/>
        </w:rPr>
        <w:t xml:space="preserve">第二节 </w:t>
      </w:r>
      <w:r>
        <w:rPr>
          <w:rFonts w:ascii="楷体_GB2312" w:hAnsi="楷体_GB2312"/>
          <w:b/>
        </w:rPr>
        <w:t xml:space="preserve"> 稳步提高社会保险待遇水平</w:t>
      </w:r>
    </w:p>
    <w:p w14:paraId="37B46197">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落实城乡居民基本养老保险待遇确定和基础养老金正常调整机制，及时调整提高城乡居民基本养老保险基础养老金标准。做好机关事业单位退休人员基本养老金调整工作。健全与经济社会发展水平相适应的失业保险金标准调整机制，保障失业人员基本生活。完善科学、合理、规范的工伤保险待遇调整机制。</w:t>
      </w:r>
    </w:p>
    <w:p w14:paraId="1E10BCA4">
      <w:pPr>
        <w:pStyle w:val="3"/>
        <w:rPr>
          <w:rFonts w:ascii="楷体_GB2312"/>
          <w:b/>
        </w:rPr>
      </w:pPr>
      <w:r>
        <w:rPr>
          <w:rFonts w:hint="eastAsia" w:ascii="楷体_GB2312" w:hAnsi="楷体_GB2312"/>
          <w:b/>
        </w:rPr>
        <w:t xml:space="preserve">第三节 </w:t>
      </w:r>
      <w:r>
        <w:rPr>
          <w:rFonts w:ascii="楷体_GB2312" w:hAnsi="楷体_GB2312"/>
          <w:b/>
        </w:rPr>
        <w:t xml:space="preserve"> 加强社会保险基金管理和监督</w:t>
      </w:r>
    </w:p>
    <w:p w14:paraId="0321B0CE">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落实基本养老保险全国统筹制度。稳步推进失业保险、工伤保险基金自治区级统筹。完善基金预决算制度，建立健全社会保险基金缺口市县财政分担机制，推动财政对社会保险投入制度化。完善基金监督制度，健全内控监督、行政监督、专门监督、信息化监督和社会监督相结合的长效监督体系，健全政策、经办、信息、监督“四位一体”的基金管理风险防控体系。加大社会保险欺诈行为的打击力度，守护好群众的每一分“养老钱”、“保命钱”。</w:t>
      </w:r>
    </w:p>
    <w:p w14:paraId="3E887E6A">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 xml:space="preserve"> </w:t>
      </w:r>
    </w:p>
    <w:p w14:paraId="15668F77">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 xml:space="preserve"> </w:t>
      </w:r>
    </w:p>
    <w:p w14:paraId="1A9A8261">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 xml:space="preserve"> </w:t>
      </w:r>
    </w:p>
    <w:p w14:paraId="348874EB">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 xml:space="preserve"> </w:t>
      </w:r>
    </w:p>
    <w:p w14:paraId="71FA1F41">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 xml:space="preserve"> </w:t>
      </w:r>
    </w:p>
    <w:p w14:paraId="238DF02F">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 xml:space="preserve"> </w:t>
      </w:r>
    </w:p>
    <w:p w14:paraId="17440063">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 xml:space="preserve"> </w:t>
      </w:r>
    </w:p>
    <w:p w14:paraId="26CF8A1E">
      <w:pPr>
        <w:pStyle w:val="2"/>
        <w:spacing w:before="0" w:after="0" w:line="560" w:lineRule="exact"/>
        <w:jc w:val="center"/>
        <w:rPr>
          <w:rFonts w:ascii="黑体" w:hAnsi="黑体" w:eastAsia="黑体"/>
          <w:b w:val="0"/>
          <w:sz w:val="32"/>
          <w:szCs w:val="32"/>
        </w:rPr>
      </w:pPr>
      <w:r>
        <w:rPr>
          <w:rFonts w:hint="eastAsia" w:ascii="黑体" w:hAnsi="黑体" w:eastAsia="黑体"/>
          <w:b w:val="0"/>
          <w:sz w:val="32"/>
          <w:szCs w:val="32"/>
        </w:rPr>
        <w:t xml:space="preserve">第四章 </w:t>
      </w:r>
      <w:r>
        <w:rPr>
          <w:rFonts w:ascii="黑体" w:hAnsi="黑体" w:eastAsia="黑体"/>
          <w:b w:val="0"/>
          <w:sz w:val="32"/>
          <w:szCs w:val="32"/>
        </w:rPr>
        <w:t xml:space="preserve"> </w:t>
      </w:r>
      <w:r>
        <w:rPr>
          <w:rFonts w:hint="eastAsia" w:ascii="黑体" w:hAnsi="黑体" w:eastAsia="黑体"/>
          <w:b w:val="0"/>
          <w:sz w:val="32"/>
          <w:szCs w:val="32"/>
        </w:rPr>
        <w:t>为经济社会发展提供人才保障</w:t>
      </w:r>
    </w:p>
    <w:p w14:paraId="02F26490">
      <w:pPr>
        <w:rPr>
          <w:rFonts w:hint="eastAsia" w:ascii="宋体" w:hAnsi="宋体"/>
        </w:rPr>
      </w:pPr>
      <w:r>
        <w:rPr>
          <w:rFonts w:hint="eastAsia" w:ascii="宋体" w:hAnsi="宋体"/>
        </w:rPr>
        <w:t xml:space="preserve"> </w:t>
      </w:r>
    </w:p>
    <w:p w14:paraId="28089C9D">
      <w:pPr>
        <w:spacing w:line="560" w:lineRule="exact"/>
        <w:ind w:firstLine="640" w:firstLineChars="200"/>
        <w:rPr>
          <w:rFonts w:hint="eastAsia" w:ascii="仿宋_GB2312" w:hAnsi="仿宋_GB2312"/>
          <w:sz w:val="32"/>
          <w:szCs w:val="32"/>
        </w:rPr>
      </w:pPr>
      <w:r>
        <w:rPr>
          <w:rFonts w:ascii="仿宋_GB2312" w:hAnsi="仿宋_GB2312"/>
          <w:sz w:val="32"/>
          <w:szCs w:val="32"/>
        </w:rPr>
        <w:t>坚持把人才作为支撑发展的第一动力，把激发人才活力作为推动发展的第一引擎，构建“引、育、留、用”全周期人才工作体系，为经济社会发展提供智力保证。</w:t>
      </w:r>
    </w:p>
    <w:p w14:paraId="6D6D04A2">
      <w:pPr>
        <w:pStyle w:val="3"/>
        <w:rPr>
          <w:rFonts w:ascii="楷体_GB2312"/>
          <w:b/>
        </w:rPr>
      </w:pPr>
      <w:r>
        <w:rPr>
          <w:rFonts w:hint="eastAsia" w:ascii="楷体_GB2312" w:hAnsi="楷体_GB2312"/>
          <w:b/>
        </w:rPr>
        <w:t xml:space="preserve">第一节 </w:t>
      </w:r>
      <w:r>
        <w:rPr>
          <w:rFonts w:ascii="楷体_GB2312" w:hAnsi="楷体_GB2312"/>
          <w:b/>
        </w:rPr>
        <w:t xml:space="preserve"> 大力引进和开发高层次人才</w:t>
      </w:r>
    </w:p>
    <w:p w14:paraId="0A57A447">
      <w:pPr>
        <w:spacing w:line="560" w:lineRule="exact"/>
        <w:ind w:firstLine="640" w:firstLineChars="200"/>
        <w:rPr>
          <w:rFonts w:ascii="仿宋_GB2312" w:hAnsi="仿宋_GB2312"/>
          <w:sz w:val="32"/>
          <w:szCs w:val="32"/>
        </w:rPr>
      </w:pPr>
      <w:r>
        <w:rPr>
          <w:rFonts w:ascii="仿宋_GB2312" w:hAnsi="仿宋_GB2312"/>
          <w:color w:val="000000"/>
          <w:sz w:val="32"/>
          <w:szCs w:val="32"/>
        </w:rPr>
        <w:t>深入宣传贯彻落实“1+13”人才引进政策体系，落实各项引进人才优惠待遇，营造政策保障、优化服务、人文关怀多层次引才环境</w:t>
      </w:r>
      <w:r>
        <w:rPr>
          <w:rFonts w:ascii="仿宋_GB2312" w:hAnsi="仿宋_GB2312"/>
          <w:sz w:val="32"/>
          <w:szCs w:val="32"/>
        </w:rPr>
        <w:t>。拓展引才引智渠道，注重刚性引才和柔性引才并举，加大创新创业团队和领军人才引进力度。实施专项引才，组织开展高校专项人才招聘，用好事业单位引才“绿色通道”，开展高端人才推介洽谈活动。</w:t>
      </w:r>
      <w:r>
        <w:rPr>
          <w:rFonts w:ascii="仿宋_GB2312" w:hAnsi="仿宋_GB2312"/>
          <w:color w:val="000000"/>
          <w:sz w:val="32"/>
          <w:szCs w:val="32"/>
        </w:rPr>
        <w:t>围绕全市重点产业和重大项目建设，为用人单位引进高层次和急需紧缺人才。</w:t>
      </w:r>
      <w:r>
        <w:rPr>
          <w:rFonts w:ascii="仿宋_GB2312" w:hAnsi="仿宋_GB2312"/>
          <w:sz w:val="32"/>
          <w:szCs w:val="32"/>
        </w:rPr>
        <w:t>采取顾问指导、“人才带项目”“项目引人才”等方式，拓展聘用、调动、兼职、委托等途径，吸引高层次人才来赤峰工作。提高引进人才服务保障水平，对符合条件的引进人才提供安置费、生活补贴、住房补贴、配偶就业、子女入学等保障措施。</w:t>
      </w:r>
      <w:r>
        <w:rPr>
          <w:rFonts w:ascii="仿宋_GB2312" w:hAnsi="仿宋_GB2312"/>
          <w:color w:val="000000"/>
          <w:sz w:val="32"/>
          <w:szCs w:val="32"/>
        </w:rPr>
        <w:t>做好各类人才奖项选拔推荐工作，促进更多高层次人才脱颖而出。</w:t>
      </w:r>
    </w:p>
    <w:p w14:paraId="5F460125">
      <w:pPr>
        <w:pStyle w:val="3"/>
        <w:rPr>
          <w:rFonts w:ascii="楷体_GB2312"/>
          <w:b/>
        </w:rPr>
      </w:pPr>
      <w:r>
        <w:rPr>
          <w:rFonts w:hint="eastAsia" w:ascii="楷体_GB2312" w:hAnsi="楷体_GB2312"/>
          <w:b/>
        </w:rPr>
        <w:t xml:space="preserve">第二节 </w:t>
      </w:r>
      <w:r>
        <w:rPr>
          <w:rFonts w:ascii="楷体_GB2312" w:hAnsi="楷体_GB2312"/>
          <w:b/>
        </w:rPr>
        <w:t xml:space="preserve"> 加快技能人才队伍建设</w:t>
      </w:r>
    </w:p>
    <w:p w14:paraId="1BA6E1FA">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实施“技能赤峰”工程，深化职普融通、产教融合、校企合作，构建“政策引领、工程驱动、评价导航、激励催发、竞赛选拔”技能人才培养体系，打造更多“赤峰工匠”。持续开展职业技能提升行动，多渠道、多层次、多形式错位开展职业技能培训，发挥专项资金牵引功能。加快高技能人才队伍建设，加大高技能人才实训基地、培训基地、技能大师工作室建设力度，造就一批具有精湛技艺、高超技能和创新能力的技师和高级技师。打造一批远近驰名的技能品牌，以冶金、能源、化工、医药等行业工种为重点，配套家政、月嫂等传统工种，构建凸显优势、错位发展的赤峰技能品牌体系。全面提升技工院校办学水平，加强专业建设，强化招生力度，深化校企合作，推动技工院校与大型骨干企业组建校企联盟。完善社会化职业技能鉴定、企业技能人才自主评价、技工院校职业技能等级认定相结合的多元化技能人才评价体系，贯通高技能人才与专业技术人才职业发展渠道。加强技能人才薪酬分配指引，完善体现技能价值激励导向的工资分配制度。完善职业技能竞赛体系，以数字创意、先进制造业、现代服务业、战略性新兴产业、传统优势产业工种为重点，开展综合性、专业性职业技能竞赛。</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14:paraId="3B433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25" w:type="dxa"/>
            <w:tcBorders>
              <w:top w:val="single" w:color="000000" w:sz="4" w:space="0"/>
              <w:left w:val="single" w:color="000000" w:sz="4" w:space="0"/>
              <w:bottom w:val="single" w:color="000000" w:sz="4" w:space="0"/>
              <w:right w:val="single" w:color="000000" w:sz="4" w:space="0"/>
            </w:tcBorders>
          </w:tcPr>
          <w:p w14:paraId="6C37FF1F">
            <w:pPr>
              <w:widowControl/>
              <w:spacing w:line="560" w:lineRule="exact"/>
              <w:jc w:val="center"/>
              <w:rPr>
                <w:rFonts w:ascii="黑体" w:hAnsi="黑体" w:eastAsia="黑体" w:cs="仿宋_GB2312"/>
                <w:color w:val="000000"/>
                <w:spacing w:val="-10"/>
                <w:kern w:val="0"/>
                <w:sz w:val="32"/>
                <w:szCs w:val="32"/>
              </w:rPr>
            </w:pPr>
            <w:r>
              <w:rPr>
                <w:rFonts w:hint="eastAsia" w:ascii="黑体" w:hAnsi="黑体" w:eastAsia="黑体" w:cs="仿宋_GB2312"/>
                <w:color w:val="000000"/>
                <w:spacing w:val="-10"/>
                <w:kern w:val="0"/>
                <w:sz w:val="32"/>
                <w:szCs w:val="32"/>
              </w:rPr>
              <w:t>专栏8  高技能人才培养计划</w:t>
            </w:r>
          </w:p>
        </w:tc>
      </w:tr>
      <w:tr w14:paraId="2C85D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25" w:type="dxa"/>
            <w:tcBorders>
              <w:top w:val="single" w:color="000000" w:sz="4" w:space="0"/>
              <w:left w:val="single" w:color="000000" w:sz="4" w:space="0"/>
              <w:bottom w:val="single" w:color="000000" w:sz="4" w:space="0"/>
              <w:right w:val="single" w:color="000000" w:sz="4" w:space="0"/>
            </w:tcBorders>
          </w:tcPr>
          <w:p w14:paraId="1CA7CCC7">
            <w:pPr>
              <w:spacing w:line="560" w:lineRule="exact"/>
              <w:rPr>
                <w:rFonts w:hint="eastAsia" w:ascii="仿宋_GB2312" w:hAnsi="仿宋_GB2312"/>
                <w:spacing w:val="-10"/>
                <w:sz w:val="28"/>
                <w:szCs w:val="28"/>
              </w:rPr>
            </w:pPr>
            <w:r>
              <w:rPr>
                <w:rFonts w:ascii="仿宋_GB2312" w:hAnsi="仿宋_GB2312"/>
                <w:b/>
                <w:spacing w:val="-10"/>
                <w:sz w:val="28"/>
                <w:szCs w:val="28"/>
              </w:rPr>
              <w:t xml:space="preserve">    1.百名高技能领军人才技能提升项目</w:t>
            </w:r>
          </w:p>
          <w:p w14:paraId="6C67C090">
            <w:pPr>
              <w:spacing w:line="560" w:lineRule="exact"/>
              <w:ind w:firstLine="520" w:firstLineChars="200"/>
              <w:rPr>
                <w:rFonts w:ascii="仿宋_GB2312" w:hAnsi="仿宋_GB2312"/>
                <w:spacing w:val="-10"/>
                <w:sz w:val="28"/>
                <w:szCs w:val="28"/>
              </w:rPr>
            </w:pPr>
            <w:r>
              <w:rPr>
                <w:rFonts w:ascii="仿宋_GB2312" w:hAnsi="仿宋_GB2312"/>
                <w:spacing w:val="-10"/>
                <w:sz w:val="28"/>
                <w:szCs w:val="28"/>
              </w:rPr>
              <w:t>每年重点培养10名以上具有绝技绝活、能引领我市产业技术发展的技能大师带头人、优秀中青年技能人才和民族产业技能带头人。</w:t>
            </w:r>
          </w:p>
          <w:p w14:paraId="63533F15">
            <w:pPr>
              <w:spacing w:line="560" w:lineRule="exact"/>
              <w:rPr>
                <w:rFonts w:ascii="仿宋_GB2312" w:hAnsi="仿宋_GB2312"/>
                <w:spacing w:val="-10"/>
                <w:sz w:val="28"/>
                <w:szCs w:val="28"/>
              </w:rPr>
            </w:pPr>
            <w:r>
              <w:rPr>
                <w:rFonts w:ascii="仿宋_GB2312" w:hAnsi="仿宋_GB2312"/>
                <w:b/>
                <w:spacing w:val="-10"/>
                <w:sz w:val="28"/>
                <w:szCs w:val="28"/>
              </w:rPr>
              <w:t xml:space="preserve">    2.千名紧缺急需职业（工种）技师和高级技师培养项目</w:t>
            </w:r>
          </w:p>
          <w:p w14:paraId="0BA802B1">
            <w:pPr>
              <w:spacing w:line="560" w:lineRule="exact"/>
              <w:ind w:firstLine="520" w:firstLineChars="200"/>
              <w:rPr>
                <w:rFonts w:ascii="仿宋_GB2312" w:hAnsi="仿宋_GB2312"/>
                <w:spacing w:val="-10"/>
                <w:sz w:val="28"/>
                <w:szCs w:val="28"/>
              </w:rPr>
            </w:pPr>
            <w:r>
              <w:rPr>
                <w:rFonts w:ascii="仿宋_GB2312" w:hAnsi="仿宋_GB2312"/>
                <w:spacing w:val="-10"/>
                <w:sz w:val="28"/>
                <w:szCs w:val="28"/>
              </w:rPr>
              <w:t>结合我市能源、化工、冶金、制药、农畜产品加工等传统产业转型升级和培育打造新能源、新材料、节能环保、高端装备、大数据云计算、信息制造、人工智能、数字创意、生物科技、蒙中医药等战略性新兴产业，开展技师、高级技师培训，提高专业知识水平、解决生产实际问题能力和革新、创新、创造能力。每年培养紧缺急需职业（工种）技师和高级技师300名以上。</w:t>
            </w:r>
          </w:p>
          <w:p w14:paraId="477BEFA8">
            <w:pPr>
              <w:spacing w:line="560" w:lineRule="exact"/>
              <w:rPr>
                <w:rFonts w:ascii="仿宋_GB2312" w:hAnsi="仿宋_GB2312"/>
                <w:spacing w:val="-10"/>
                <w:sz w:val="28"/>
                <w:szCs w:val="28"/>
              </w:rPr>
            </w:pPr>
            <w:r>
              <w:rPr>
                <w:rFonts w:ascii="仿宋_GB2312" w:hAnsi="仿宋_GB2312"/>
                <w:b/>
                <w:spacing w:val="-10"/>
                <w:sz w:val="28"/>
                <w:szCs w:val="28"/>
              </w:rPr>
              <w:t xml:space="preserve">    3.万名企业高技能人才培养项目</w:t>
            </w:r>
          </w:p>
          <w:p w14:paraId="78A5D213">
            <w:pPr>
              <w:spacing w:line="560" w:lineRule="exact"/>
              <w:ind w:firstLine="520" w:firstLineChars="200"/>
              <w:rPr>
                <w:rFonts w:ascii="仿宋_GB2312" w:hAnsi="仿宋_GB2312"/>
                <w:spacing w:val="-10"/>
                <w:sz w:val="28"/>
                <w:szCs w:val="28"/>
              </w:rPr>
            </w:pPr>
            <w:r>
              <w:rPr>
                <w:rFonts w:ascii="仿宋_GB2312" w:hAnsi="仿宋_GB2312"/>
                <w:spacing w:val="-10"/>
                <w:sz w:val="28"/>
                <w:szCs w:val="28"/>
              </w:rPr>
              <w:t>鼓励企业与具备高技能人才培养能力的院校建立稳定的合作关系，开展高技能人才研修、高技能人才提升培训。每年企业职工岗位技能提升培训1万人次以上。</w:t>
            </w:r>
          </w:p>
          <w:p w14:paraId="0C791F23">
            <w:pPr>
              <w:spacing w:line="560" w:lineRule="exact"/>
              <w:rPr>
                <w:rFonts w:ascii="仿宋_GB2312" w:hAnsi="仿宋_GB2312"/>
                <w:spacing w:val="-10"/>
                <w:sz w:val="28"/>
                <w:szCs w:val="28"/>
              </w:rPr>
            </w:pPr>
            <w:r>
              <w:rPr>
                <w:rFonts w:ascii="仿宋_GB2312" w:hAnsi="仿宋_GB2312"/>
                <w:b/>
                <w:spacing w:val="-10"/>
                <w:sz w:val="28"/>
                <w:szCs w:val="28"/>
              </w:rPr>
              <w:t xml:space="preserve">    4.高技能人才培训基地建设项目</w:t>
            </w:r>
          </w:p>
          <w:p w14:paraId="1DAC3B7D">
            <w:pPr>
              <w:spacing w:line="560" w:lineRule="exact"/>
              <w:ind w:firstLine="520" w:firstLineChars="200"/>
              <w:rPr>
                <w:rFonts w:ascii="仿宋_GB2312" w:hAnsi="仿宋_GB2312"/>
                <w:spacing w:val="-10"/>
                <w:sz w:val="28"/>
                <w:szCs w:val="28"/>
              </w:rPr>
            </w:pPr>
            <w:r>
              <w:rPr>
                <w:rFonts w:ascii="仿宋_GB2312" w:hAnsi="仿宋_GB2312"/>
                <w:spacing w:val="-10"/>
                <w:sz w:val="28"/>
                <w:szCs w:val="28"/>
              </w:rPr>
              <w:t xml:space="preserve">到2025年，新建3个国家级、5个自治区级高技能人才培训基地。 </w:t>
            </w:r>
          </w:p>
          <w:p w14:paraId="7372DF9B">
            <w:pPr>
              <w:spacing w:line="560" w:lineRule="exact"/>
              <w:rPr>
                <w:rFonts w:ascii="仿宋_GB2312" w:hAnsi="仿宋_GB2312"/>
                <w:spacing w:val="-10"/>
                <w:sz w:val="28"/>
                <w:szCs w:val="28"/>
              </w:rPr>
            </w:pPr>
            <w:r>
              <w:rPr>
                <w:rFonts w:ascii="仿宋_GB2312" w:hAnsi="仿宋_GB2312"/>
                <w:spacing w:val="-10"/>
                <w:sz w:val="28"/>
                <w:szCs w:val="28"/>
              </w:rPr>
              <w:t xml:space="preserve">    5.</w:t>
            </w:r>
            <w:r>
              <w:rPr>
                <w:rFonts w:ascii="仿宋_GB2312" w:hAnsi="仿宋_GB2312"/>
                <w:b/>
                <w:spacing w:val="-10"/>
                <w:sz w:val="28"/>
                <w:szCs w:val="28"/>
              </w:rPr>
              <w:t>推进技能大师工作室建设项目</w:t>
            </w:r>
          </w:p>
          <w:p w14:paraId="18F93C2A">
            <w:pPr>
              <w:spacing w:line="560" w:lineRule="exact"/>
              <w:ind w:firstLine="520" w:firstLineChars="200"/>
              <w:rPr>
                <w:rFonts w:ascii="仿宋_GB2312" w:hAnsi="仿宋_GB2312"/>
                <w:spacing w:val="-10"/>
              </w:rPr>
            </w:pPr>
            <w:r>
              <w:rPr>
                <w:rFonts w:ascii="仿宋_GB2312" w:hAnsi="仿宋_GB2312"/>
                <w:spacing w:val="-10"/>
                <w:sz w:val="28"/>
                <w:szCs w:val="28"/>
              </w:rPr>
              <w:t>到2025年，新建3个国家级、6个自治区级技能大师工作室。</w:t>
            </w:r>
          </w:p>
        </w:tc>
      </w:tr>
    </w:tbl>
    <w:p w14:paraId="26BBFD92">
      <w:pPr>
        <w:pStyle w:val="3"/>
        <w:rPr>
          <w:rFonts w:ascii="楷体_GB2312"/>
          <w:b/>
        </w:rPr>
      </w:pPr>
      <w:r>
        <w:rPr>
          <w:rFonts w:hint="eastAsia" w:ascii="楷体_GB2312" w:hAnsi="楷体_GB2312"/>
          <w:b/>
        </w:rPr>
        <w:t xml:space="preserve">第三节 </w:t>
      </w:r>
      <w:r>
        <w:rPr>
          <w:rFonts w:ascii="楷体_GB2312" w:hAnsi="楷体_GB2312"/>
          <w:b/>
        </w:rPr>
        <w:t xml:space="preserve"> 加强专业技术人才队伍建设</w:t>
      </w:r>
    </w:p>
    <w:p w14:paraId="14FB8D67">
      <w:pPr>
        <w:spacing w:line="560" w:lineRule="exact"/>
        <w:ind w:firstLine="640" w:firstLineChars="200"/>
        <w:rPr>
          <w:rFonts w:ascii="仿宋_GB2312" w:hAnsi="仿宋_GB2312"/>
          <w:sz w:val="32"/>
          <w:szCs w:val="32"/>
        </w:rPr>
      </w:pPr>
      <w:r>
        <w:rPr>
          <w:rFonts w:ascii="仿宋_GB2312" w:hAnsi="仿宋_GB2312"/>
          <w:color w:val="000000"/>
          <w:sz w:val="32"/>
          <w:szCs w:val="32"/>
        </w:rPr>
        <w:t>加强基层专业技术人才队伍建设，向基层专业人才实施符合特点和成长规律的政策倾斜，开展专家服务基层活动，着力解决基层育才引智难问题。加大农村牧区教师、医疗、种养殖等专业技术人才培养力度。做好自治区杰出人才、突出贡献专家选拔推荐工作，完善特贴专家跟踪培养机制，加强博士后人员服务管理。开展少数民族专业技术人才特殊培养计划。实施专业技术人才知识更新工程。选送优秀人员到国内外一流大学、科研机构或知名企业学习交流，提高专业技术人员综合素质。深化分类推进职称制度改革，探索建立分类分层、符合各类专业技术人员特点、与事业单位聘用制度和企业用人制度相衔接的专业技术人员职称评价制度。加大职称评审权下放力度，支持条件成熟的社会组织、行业协会承接职称评价工作。推广使用自治区专业技术人才信息服务平台</w:t>
      </w:r>
      <w:r>
        <w:rPr>
          <w:rFonts w:ascii="仿宋_GB2312" w:hAnsi="仿宋_GB2312"/>
          <w:sz w:val="32"/>
          <w:szCs w:val="32"/>
        </w:rPr>
        <w:t>，提升职称评审信息化服务水平。</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6C0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99" w:type="dxa"/>
            <w:tcBorders>
              <w:top w:val="single" w:color="auto" w:sz="4" w:space="0"/>
              <w:left w:val="single" w:color="auto" w:sz="4" w:space="0"/>
              <w:bottom w:val="single" w:color="auto" w:sz="4" w:space="0"/>
              <w:right w:val="single" w:color="auto" w:sz="4" w:space="0"/>
            </w:tcBorders>
          </w:tcPr>
          <w:p w14:paraId="116C6736">
            <w:pPr>
              <w:spacing w:line="560" w:lineRule="exact"/>
              <w:jc w:val="center"/>
              <w:rPr>
                <w:rFonts w:ascii="黑体" w:hAnsi="黑体" w:eastAsia="黑体" w:cs="仿宋_GB2312"/>
                <w:spacing w:val="-10"/>
                <w:sz w:val="32"/>
                <w:szCs w:val="32"/>
              </w:rPr>
            </w:pPr>
            <w:r>
              <w:rPr>
                <w:rFonts w:hint="eastAsia" w:ascii="黑体" w:hAnsi="黑体" w:eastAsia="黑体" w:cs="仿宋_GB2312"/>
                <w:spacing w:val="-10"/>
                <w:sz w:val="32"/>
                <w:szCs w:val="32"/>
              </w:rPr>
              <w:t>专栏9 专业技术人才培养计划</w:t>
            </w:r>
          </w:p>
        </w:tc>
      </w:tr>
      <w:tr w14:paraId="3F90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9" w:type="dxa"/>
            <w:tcBorders>
              <w:top w:val="single" w:color="auto" w:sz="4" w:space="0"/>
              <w:left w:val="single" w:color="auto" w:sz="4" w:space="0"/>
              <w:bottom w:val="single" w:color="auto" w:sz="4" w:space="0"/>
              <w:right w:val="single" w:color="auto" w:sz="4" w:space="0"/>
            </w:tcBorders>
          </w:tcPr>
          <w:p w14:paraId="18243A2B">
            <w:pPr>
              <w:spacing w:line="560" w:lineRule="exact"/>
              <w:rPr>
                <w:rFonts w:hint="eastAsia" w:ascii="仿宋_GB2312" w:hAnsi="仿宋_GB2312"/>
                <w:b/>
                <w:spacing w:val="-10"/>
                <w:kern w:val="0"/>
                <w:sz w:val="28"/>
                <w:szCs w:val="28"/>
              </w:rPr>
            </w:pPr>
            <w:r>
              <w:rPr>
                <w:rFonts w:ascii="仿宋_GB2312" w:hAnsi="仿宋_GB2312"/>
                <w:b/>
                <w:spacing w:val="-10"/>
                <w:kern w:val="0"/>
                <w:sz w:val="28"/>
                <w:szCs w:val="28"/>
              </w:rPr>
              <w:t xml:space="preserve">    1.专业技术人才知识更新工程</w:t>
            </w:r>
          </w:p>
          <w:p w14:paraId="40D83DB1">
            <w:pPr>
              <w:spacing w:line="560" w:lineRule="exact"/>
              <w:ind w:firstLine="520" w:firstLineChars="200"/>
              <w:rPr>
                <w:rFonts w:ascii="仿宋_GB2312" w:hAnsi="仿宋_GB2312"/>
                <w:spacing w:val="-10"/>
                <w:kern w:val="0"/>
                <w:sz w:val="28"/>
                <w:szCs w:val="28"/>
              </w:rPr>
            </w:pPr>
            <w:r>
              <w:rPr>
                <w:rFonts w:ascii="仿宋_GB2312" w:hAnsi="仿宋_GB2312"/>
                <w:spacing w:val="-10"/>
                <w:kern w:val="0"/>
                <w:sz w:val="28"/>
                <w:szCs w:val="28"/>
              </w:rPr>
              <w:t>围绕人工智能、大数据、区块链、物联网、集成电路、新能源、新材料、生命健康等关键领域，承办1-2期国家级高级研修班，举办自治区级高级研修项目2期以上，培训专业技术人员350人。围绕自治区经济社会发展重点领域，依托赤峰市高等学校、科研院所和大型企业，每年培训专业技术人才4万人次。加强专业技术人员继续教育基地建设。</w:t>
            </w:r>
          </w:p>
          <w:p w14:paraId="42C38060">
            <w:pPr>
              <w:spacing w:line="560" w:lineRule="exact"/>
              <w:rPr>
                <w:rFonts w:ascii="仿宋_GB2312" w:hAnsi="仿宋_GB2312"/>
                <w:b/>
                <w:spacing w:val="-10"/>
                <w:kern w:val="0"/>
                <w:sz w:val="28"/>
                <w:szCs w:val="28"/>
              </w:rPr>
            </w:pPr>
            <w:r>
              <w:rPr>
                <w:rFonts w:ascii="仿宋_GB2312" w:hAnsi="仿宋_GB2312"/>
                <w:b/>
                <w:spacing w:val="-10"/>
                <w:kern w:val="0"/>
                <w:sz w:val="28"/>
                <w:szCs w:val="28"/>
              </w:rPr>
              <w:t xml:space="preserve">    2.重点人才项目</w:t>
            </w:r>
          </w:p>
          <w:p w14:paraId="6120AAE1">
            <w:pPr>
              <w:spacing w:line="560" w:lineRule="exact"/>
              <w:rPr>
                <w:rFonts w:ascii="仿宋_GB2312" w:hAnsi="仿宋_GB2312"/>
                <w:spacing w:val="-10"/>
                <w:kern w:val="0"/>
                <w:sz w:val="28"/>
                <w:szCs w:val="28"/>
              </w:rPr>
            </w:pPr>
            <w:r>
              <w:rPr>
                <w:rFonts w:ascii="仿宋_GB2312" w:hAnsi="仿宋_GB2312"/>
                <w:spacing w:val="-10"/>
                <w:kern w:val="0"/>
                <w:sz w:val="28"/>
                <w:szCs w:val="28"/>
              </w:rPr>
              <w:t xml:space="preserve">    围绕国家重大战略需求和基层发展需要，积极向自治区推荐留学回国人员创新创业资助、优秀博士后人员科研资助，争取上级资金支持。积极推荐少数民族专业技术人才特殊培养等高层次人才项目。</w:t>
            </w:r>
          </w:p>
          <w:p w14:paraId="3D4868EF">
            <w:pPr>
              <w:spacing w:line="560" w:lineRule="exact"/>
              <w:rPr>
                <w:rFonts w:ascii="仿宋_GB2312" w:hAnsi="仿宋_GB2312"/>
                <w:b/>
                <w:spacing w:val="-10"/>
                <w:kern w:val="0"/>
                <w:sz w:val="28"/>
                <w:szCs w:val="28"/>
              </w:rPr>
            </w:pPr>
            <w:r>
              <w:rPr>
                <w:rFonts w:ascii="仿宋_GB2312" w:hAnsi="仿宋_GB2312"/>
                <w:b/>
                <w:spacing w:val="-10"/>
                <w:kern w:val="0"/>
                <w:sz w:val="28"/>
                <w:szCs w:val="28"/>
              </w:rPr>
              <w:t xml:space="preserve">    3.人才选拔培养项目</w:t>
            </w:r>
          </w:p>
          <w:p w14:paraId="1DEE6195">
            <w:pPr>
              <w:spacing w:line="560" w:lineRule="exact"/>
              <w:rPr>
                <w:rFonts w:ascii="仿宋_GB2312" w:hAnsi="仿宋_GB2312"/>
                <w:spacing w:val="-10"/>
                <w:kern w:val="0"/>
                <w:sz w:val="28"/>
                <w:szCs w:val="28"/>
              </w:rPr>
            </w:pPr>
            <w:r>
              <w:rPr>
                <w:rFonts w:ascii="仿宋_GB2312" w:hAnsi="仿宋_GB2312"/>
                <w:spacing w:val="-10"/>
                <w:kern w:val="0"/>
                <w:sz w:val="28"/>
                <w:szCs w:val="28"/>
              </w:rPr>
              <w:t xml:space="preserve">    选拔推荐自治区杰出人才、突出贡献专家、青年创新人才、新世纪321人才工程一、二层次人选。</w:t>
            </w:r>
          </w:p>
          <w:p w14:paraId="5D2252EA">
            <w:pPr>
              <w:spacing w:line="560" w:lineRule="exact"/>
              <w:rPr>
                <w:rFonts w:ascii="仿宋_GB2312" w:hAnsi="仿宋_GB2312"/>
                <w:b/>
                <w:spacing w:val="-10"/>
                <w:kern w:val="0"/>
                <w:sz w:val="28"/>
                <w:szCs w:val="28"/>
              </w:rPr>
            </w:pPr>
            <w:r>
              <w:rPr>
                <w:rFonts w:ascii="仿宋_GB2312" w:hAnsi="仿宋_GB2312"/>
                <w:b/>
                <w:spacing w:val="-10"/>
                <w:kern w:val="0"/>
                <w:sz w:val="28"/>
                <w:szCs w:val="28"/>
              </w:rPr>
              <w:t xml:space="preserve">    4.专家服务基层行动</w:t>
            </w:r>
          </w:p>
          <w:p w14:paraId="08D3C748">
            <w:pPr>
              <w:spacing w:line="560" w:lineRule="exact"/>
              <w:rPr>
                <w:rFonts w:ascii="仿宋_GB2312" w:hAnsi="仿宋_GB2312"/>
              </w:rPr>
            </w:pPr>
            <w:r>
              <w:rPr>
                <w:rFonts w:ascii="仿宋_GB2312" w:hAnsi="仿宋_GB2312"/>
                <w:spacing w:val="-10"/>
                <w:kern w:val="0"/>
                <w:sz w:val="28"/>
                <w:szCs w:val="28"/>
              </w:rPr>
              <w:t xml:space="preserve">    积极争取自治区资金，鼓励专家服务基层，将专家的专业技能转化为生产力，促进农业、农村、农民增产增收，创造经济效益。</w:t>
            </w:r>
          </w:p>
        </w:tc>
      </w:tr>
    </w:tbl>
    <w:p w14:paraId="3322815B">
      <w:pPr>
        <w:pStyle w:val="3"/>
        <w:rPr>
          <w:rFonts w:ascii="楷体_GB2312"/>
          <w:b/>
        </w:rPr>
      </w:pPr>
      <w:r>
        <w:rPr>
          <w:rFonts w:hint="eastAsia" w:ascii="楷体_GB2312" w:hAnsi="楷体_GB2312"/>
          <w:b/>
        </w:rPr>
        <w:t xml:space="preserve">第四节 </w:t>
      </w:r>
      <w:r>
        <w:rPr>
          <w:rFonts w:ascii="楷体_GB2312" w:hAnsi="楷体_GB2312"/>
          <w:b/>
        </w:rPr>
        <w:t xml:space="preserve"> 建成国家级人力资源服务产业园区</w:t>
      </w:r>
    </w:p>
    <w:p w14:paraId="4DC95DB8">
      <w:pPr>
        <w:spacing w:line="560" w:lineRule="exact"/>
        <w:ind w:firstLine="640" w:firstLineChars="200"/>
        <w:rPr>
          <w:rFonts w:ascii="仿宋_GB2312" w:hAnsi="仿宋_GB2312"/>
          <w:color w:val="000000"/>
          <w:sz w:val="32"/>
          <w:szCs w:val="32"/>
        </w:rPr>
      </w:pPr>
      <w:r>
        <w:rPr>
          <w:rFonts w:ascii="仿宋_GB2312" w:hAnsi="仿宋_GB2312"/>
          <w:sz w:val="32"/>
          <w:szCs w:val="32"/>
        </w:rPr>
        <w:t>按照“聚集产业、孵化企业、赋能人才、融合发展”的思路，以“立足赤峰、服务蒙东、辐射全国、走向国际”的发展定位，建设</w:t>
      </w:r>
      <w:r>
        <w:rPr>
          <w:rFonts w:ascii="仿宋_GB2312" w:hAnsi="仿宋_GB2312"/>
          <w:color w:val="000000"/>
          <w:sz w:val="32"/>
          <w:szCs w:val="32"/>
        </w:rPr>
        <w:t>中国·赤峰人力资源服务产业园。构建“一核多园、团组联动、覆盖全市”的产业布局，打造人才生态城市，致力于发展成为蒙东地区人力资源服务配置中心、“一带一路”国家（地区）人力资源服务配置重要枢纽、内蒙古自治区人力资源发展高地和连通国际人力资源的聚集地，切实为赤峰乃至全区高质量发展提供人才支撑和智力保障，力争2025年成为国家级人力资源服务产业园。</w:t>
      </w:r>
    </w:p>
    <w:p w14:paraId="411D37A2">
      <w:pPr>
        <w:pStyle w:val="3"/>
        <w:rPr>
          <w:rFonts w:ascii="楷体_GB2312"/>
          <w:b/>
        </w:rPr>
      </w:pPr>
      <w:r>
        <w:rPr>
          <w:rFonts w:hint="eastAsia" w:ascii="楷体_GB2312" w:hAnsi="楷体_GB2312"/>
          <w:b/>
        </w:rPr>
        <w:t xml:space="preserve">第五节 </w:t>
      </w:r>
      <w:r>
        <w:rPr>
          <w:rFonts w:ascii="楷体_GB2312" w:hAnsi="楷体_GB2312"/>
          <w:b/>
        </w:rPr>
        <w:t xml:space="preserve"> 完善人力资源市场体系</w:t>
      </w:r>
    </w:p>
    <w:p w14:paraId="18EC08E3">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贯彻落实《人力资源市场暂行条例》，健全政府监管、行业自律、社会监督的人力资源市场监管体系，充分发挥人力资源市场对人才引进、配置、培养和发展的促进作用。积极培育专业化人力资源服务机构，着力引进、发展高端人才猎头等高层次、专业化人力资源服务机构。组织开展诚信服务主题创建活动，培树、选拔一批自治区级、市级人力资源诚信服务示范典型，营造诚信服务、健康发展的良好氛围。</w:t>
      </w:r>
    </w:p>
    <w:tbl>
      <w:tblPr>
        <w:tblStyle w:val="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88"/>
      </w:tblGrid>
      <w:tr w14:paraId="36AD2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14" w:type="dxa"/>
            <w:tcBorders>
              <w:top w:val="single" w:color="000000" w:sz="4" w:space="0"/>
              <w:left w:val="single" w:color="000000" w:sz="4" w:space="0"/>
              <w:bottom w:val="single" w:color="000000" w:sz="4" w:space="0"/>
              <w:right w:val="single" w:color="000000" w:sz="4" w:space="0"/>
            </w:tcBorders>
          </w:tcPr>
          <w:p w14:paraId="321DA76F">
            <w:pPr>
              <w:spacing w:line="560" w:lineRule="exact"/>
              <w:jc w:val="center"/>
              <w:rPr>
                <w:rFonts w:ascii="黑体" w:hAnsi="黑体" w:eastAsia="黑体" w:cs="仿宋_GB2312"/>
                <w:color w:val="000000"/>
                <w:spacing w:val="-10"/>
                <w:sz w:val="32"/>
                <w:szCs w:val="32"/>
              </w:rPr>
            </w:pPr>
            <w:r>
              <w:rPr>
                <w:rFonts w:hint="eastAsia" w:ascii="黑体" w:hAnsi="黑体" w:eastAsia="黑体" w:cs="仿宋_GB2312"/>
                <w:color w:val="000000"/>
                <w:spacing w:val="-10"/>
                <w:sz w:val="32"/>
                <w:szCs w:val="32"/>
              </w:rPr>
              <w:t>专栏10人力资源服务提升工程</w:t>
            </w:r>
          </w:p>
        </w:tc>
      </w:tr>
      <w:tr w14:paraId="5AFB8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6" w:hRule="atLeast"/>
        </w:trPr>
        <w:tc>
          <w:tcPr>
            <w:tcW w:w="8414" w:type="dxa"/>
            <w:tcBorders>
              <w:top w:val="single" w:color="000000" w:sz="4" w:space="0"/>
              <w:left w:val="single" w:color="000000" w:sz="4" w:space="0"/>
              <w:bottom w:val="single" w:color="000000" w:sz="4" w:space="0"/>
              <w:right w:val="single" w:color="000000" w:sz="4" w:space="0"/>
            </w:tcBorders>
          </w:tcPr>
          <w:p w14:paraId="2B7C6B2A">
            <w:pPr>
              <w:spacing w:line="560" w:lineRule="exact"/>
              <w:rPr>
                <w:rFonts w:hint="eastAsia" w:ascii="仿宋_GB2312" w:hAnsi="仿宋_GB2312"/>
                <w:spacing w:val="-10"/>
                <w:kern w:val="0"/>
                <w:sz w:val="28"/>
                <w:szCs w:val="28"/>
              </w:rPr>
            </w:pPr>
            <w:r>
              <w:rPr>
                <w:rFonts w:ascii="仿宋_GB2312" w:hAnsi="仿宋_GB2312"/>
                <w:b/>
                <w:spacing w:val="-10"/>
                <w:kern w:val="0"/>
                <w:sz w:val="28"/>
                <w:szCs w:val="28"/>
              </w:rPr>
              <w:t xml:space="preserve">    1.人力资源服务产业园建设计划</w:t>
            </w:r>
          </w:p>
          <w:p w14:paraId="5F27F795">
            <w:pPr>
              <w:spacing w:line="560" w:lineRule="exact"/>
              <w:ind w:firstLine="560" w:firstLineChars="200"/>
              <w:rPr>
                <w:rFonts w:ascii="仿宋_GB2312" w:hAnsi="仿宋_GB2312"/>
                <w:spacing w:val="-10"/>
                <w:kern w:val="0"/>
                <w:sz w:val="28"/>
                <w:szCs w:val="28"/>
              </w:rPr>
            </w:pPr>
            <w:r>
              <w:rPr>
                <w:rFonts w:ascii="仿宋_GB2312" w:hAnsi="仿宋_GB2312"/>
                <w:sz w:val="28"/>
                <w:szCs w:val="28"/>
              </w:rPr>
              <w:t>按照“聚集产业、孵化企业、赋能人才、融合发展”的发展思路，以“立足赤峰、服务蒙东、辐射全国、走向国际”的发展定位，建设中国·赤峰人力资源服务产业园。</w:t>
            </w:r>
            <w:r>
              <w:rPr>
                <w:rFonts w:ascii="仿宋_GB2312" w:hAnsi="仿宋_GB2312"/>
                <w:spacing w:val="-10"/>
                <w:kern w:val="0"/>
                <w:sz w:val="28"/>
                <w:szCs w:val="28"/>
              </w:rPr>
              <w:t>力争到2022年，建成自治区级人力资源服务产业园；到2025年，建成国家级</w:t>
            </w:r>
            <w:r>
              <w:rPr>
                <w:rFonts w:ascii="仿宋_GB2312" w:hAnsi="仿宋_GB2312"/>
                <w:sz w:val="28"/>
                <w:szCs w:val="28"/>
              </w:rPr>
              <w:t>人力资源服务产业园</w:t>
            </w:r>
            <w:r>
              <w:rPr>
                <w:rFonts w:ascii="仿宋_GB2312" w:hAnsi="仿宋_GB2312"/>
                <w:spacing w:val="-10"/>
                <w:kern w:val="0"/>
                <w:sz w:val="28"/>
                <w:szCs w:val="28"/>
              </w:rPr>
              <w:t>。</w:t>
            </w:r>
          </w:p>
          <w:p w14:paraId="1B51FA5B">
            <w:pPr>
              <w:spacing w:line="560" w:lineRule="exact"/>
              <w:ind w:firstLine="522" w:firstLineChars="200"/>
              <w:rPr>
                <w:rFonts w:ascii="仿宋_GB2312" w:hAnsi="仿宋_GB2312"/>
                <w:b/>
                <w:spacing w:val="-10"/>
                <w:kern w:val="0"/>
                <w:sz w:val="28"/>
                <w:szCs w:val="28"/>
              </w:rPr>
            </w:pPr>
            <w:r>
              <w:rPr>
                <w:rFonts w:ascii="仿宋_GB2312" w:hAnsi="仿宋_GB2312"/>
                <w:b/>
                <w:spacing w:val="-10"/>
                <w:kern w:val="0"/>
                <w:sz w:val="28"/>
                <w:szCs w:val="28"/>
              </w:rPr>
              <w:t>2.</w:t>
            </w:r>
            <w:r>
              <w:rPr>
                <w:rFonts w:ascii="仿宋_GB2312" w:hAnsi="仿宋_GB2312"/>
                <w:b/>
                <w:color w:val="000000"/>
                <w:sz w:val="28"/>
                <w:szCs w:val="28"/>
              </w:rPr>
              <w:t>蒙东人力资源服务领军人才培养计划</w:t>
            </w:r>
          </w:p>
          <w:p w14:paraId="32FE25C3">
            <w:pPr>
              <w:spacing w:line="560" w:lineRule="exact"/>
              <w:rPr>
                <w:rFonts w:ascii="仿宋_GB2312" w:hAnsi="仿宋_GB2312"/>
                <w:color w:val="C00000"/>
                <w:sz w:val="32"/>
                <w:szCs w:val="32"/>
              </w:rPr>
            </w:pPr>
            <w:r>
              <w:rPr>
                <w:rFonts w:ascii="仿宋_GB2312" w:hAnsi="仿宋_GB2312"/>
                <w:color w:val="000000"/>
                <w:sz w:val="28"/>
                <w:szCs w:val="28"/>
              </w:rPr>
              <w:t xml:space="preserve">    每年从入住产业园内的人力资源服务机构中选派30名左右人力资源服务企业的中高级人才，到国内著名专业院校、知名人力资源服务企业学习培训、深造提升。每年开展一次“人力资源服务业领军人才”评选表彰。</w:t>
            </w:r>
          </w:p>
        </w:tc>
      </w:tr>
    </w:tbl>
    <w:p w14:paraId="7E59377B">
      <w:pPr>
        <w:pStyle w:val="2"/>
        <w:spacing w:before="0" w:after="0" w:line="560" w:lineRule="exact"/>
        <w:jc w:val="center"/>
        <w:rPr>
          <w:rFonts w:ascii="黑体" w:hAnsi="黑体" w:eastAsia="黑体"/>
          <w:b w:val="0"/>
          <w:sz w:val="32"/>
          <w:szCs w:val="32"/>
        </w:rPr>
      </w:pPr>
      <w:r>
        <w:rPr>
          <w:rFonts w:hint="eastAsia" w:ascii="黑体" w:hAnsi="黑体" w:eastAsia="黑体"/>
          <w:b w:val="0"/>
          <w:sz w:val="32"/>
          <w:szCs w:val="32"/>
        </w:rPr>
        <w:t xml:space="preserve">第五章 </w:t>
      </w:r>
      <w:r>
        <w:rPr>
          <w:rFonts w:ascii="黑体" w:hAnsi="黑体" w:eastAsia="黑体"/>
          <w:b w:val="0"/>
          <w:sz w:val="32"/>
          <w:szCs w:val="32"/>
        </w:rPr>
        <w:t xml:space="preserve"> </w:t>
      </w:r>
      <w:r>
        <w:rPr>
          <w:rFonts w:hint="eastAsia" w:ascii="黑体" w:hAnsi="黑体" w:eastAsia="黑体"/>
          <w:b w:val="0"/>
          <w:sz w:val="32"/>
          <w:szCs w:val="32"/>
        </w:rPr>
        <w:t>深化事业单位人事制度改革</w:t>
      </w:r>
    </w:p>
    <w:p w14:paraId="3FB276C6">
      <w:pPr>
        <w:rPr>
          <w:rFonts w:hint="eastAsia" w:ascii="宋体" w:hAnsi="宋体"/>
        </w:rPr>
      </w:pPr>
      <w:r>
        <w:rPr>
          <w:rFonts w:hint="eastAsia" w:ascii="宋体" w:hAnsi="宋体"/>
        </w:rPr>
        <w:t xml:space="preserve"> </w:t>
      </w:r>
    </w:p>
    <w:p w14:paraId="3C8364F8">
      <w:pPr>
        <w:spacing w:line="560" w:lineRule="exact"/>
        <w:ind w:firstLine="640" w:firstLineChars="200"/>
        <w:rPr>
          <w:rFonts w:hint="eastAsia" w:ascii="方正仿宋简体" w:hAnsi="方正仿宋简体"/>
          <w:sz w:val="32"/>
          <w:szCs w:val="32"/>
        </w:rPr>
      </w:pPr>
      <w:r>
        <w:rPr>
          <w:rFonts w:ascii="仿宋_GB2312" w:hAnsi="仿宋_GB2312"/>
          <w:sz w:val="32"/>
          <w:szCs w:val="32"/>
        </w:rPr>
        <w:t>健全事业单位人事管理体系，建立符合事业单位特点和人才成长规律的人事管理制度，充分激发事业单位人才活力 ，促进事业单位健康发展。</w:t>
      </w:r>
    </w:p>
    <w:p w14:paraId="17C54C2C">
      <w:pPr>
        <w:pStyle w:val="3"/>
        <w:rPr>
          <w:rFonts w:ascii="楷体_GB2312"/>
          <w:b/>
        </w:rPr>
      </w:pPr>
      <w:r>
        <w:rPr>
          <w:rFonts w:hint="eastAsia" w:ascii="楷体_GB2312" w:hAnsi="楷体_GB2312"/>
          <w:b/>
        </w:rPr>
        <w:t xml:space="preserve">第一节 </w:t>
      </w:r>
      <w:r>
        <w:rPr>
          <w:rFonts w:ascii="楷体_GB2312" w:hAnsi="楷体_GB2312"/>
          <w:b/>
        </w:rPr>
        <w:t xml:space="preserve"> 健全岗位管理体制机制</w:t>
      </w:r>
    </w:p>
    <w:p w14:paraId="0707F1CE">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贯彻落实以《事业单位人事管理条例》为核心的事业单位人事管理法规体系，形成权责清晰、规范有序、机制灵活、监管有效的人事管理制度。贯彻落实自治区人力资源社会保障厅《内蒙古自治区事业单位岗位设置管理实施意见》（内人社发〔2021〕14号），进一步完善事业单位岗位设置制度，研究建立岗位结构动态调整机制，</w:t>
      </w:r>
      <w:r>
        <w:rPr>
          <w:rFonts w:ascii="仿宋_GB2312" w:hAnsi="仿宋_GB2312"/>
          <w:color w:val="000000"/>
          <w:kern w:val="0"/>
          <w:sz w:val="32"/>
          <w:szCs w:val="32"/>
        </w:rPr>
        <w:t>科学合理设置岗位结构比例标准</w:t>
      </w:r>
      <w:r>
        <w:rPr>
          <w:rFonts w:ascii="仿宋_GB2312" w:hAnsi="仿宋_GB2312"/>
          <w:color w:val="000000"/>
          <w:sz w:val="32"/>
          <w:szCs w:val="32"/>
        </w:rPr>
        <w:t>。进一步规范事业单位人员聘用，加强聘用合同的签订和管理，发挥聘用合同在人员聘用、待遇、考核等方面的基础性作用。按照国家、自治区统一部署，推进事业单位管理岗位职员等级晋升制度改革。完善事业单位公开招聘制度，推行分级分类自主招聘。进一步完善事业单位工作人员考核制度，落实《事业单位工作人员处分暂行规定》，依法依规维护事业单位工作人员合法权益。</w:t>
      </w:r>
    </w:p>
    <w:p w14:paraId="56D419B1">
      <w:pPr>
        <w:pStyle w:val="3"/>
        <w:rPr>
          <w:rFonts w:ascii="楷体_GB2312"/>
          <w:b/>
        </w:rPr>
      </w:pPr>
      <w:r>
        <w:rPr>
          <w:rFonts w:hint="eastAsia" w:ascii="楷体_GB2312" w:hAnsi="楷体_GB2312"/>
          <w:b/>
        </w:rPr>
        <w:t xml:space="preserve">第二节 </w:t>
      </w:r>
      <w:r>
        <w:rPr>
          <w:rFonts w:ascii="楷体_GB2312" w:hAnsi="楷体_GB2312"/>
          <w:b/>
        </w:rPr>
        <w:t xml:space="preserve"> 推进事业单位工资制度改革</w:t>
      </w:r>
    </w:p>
    <w:p w14:paraId="21EA7B70">
      <w:pPr>
        <w:pStyle w:val="4"/>
        <w:spacing w:after="0" w:line="560" w:lineRule="exact"/>
        <w:ind w:right="105" w:rightChars="50" w:firstLine="640" w:firstLineChars="200"/>
        <w:rPr>
          <w:rFonts w:ascii="仿宋_GB2312" w:hAnsi="仿宋_GB2312"/>
          <w:color w:val="000000"/>
          <w:spacing w:val="-10"/>
          <w:sz w:val="32"/>
          <w:szCs w:val="32"/>
        </w:rPr>
      </w:pPr>
      <w:r>
        <w:rPr>
          <w:rFonts w:ascii="仿宋_GB2312" w:hAnsi="仿宋_GB2312"/>
          <w:color w:val="000000"/>
          <w:sz w:val="32"/>
          <w:szCs w:val="32"/>
        </w:rPr>
        <w:t>改革完善体现知识价值、岗位绩效、分级分类的事业单位绩效工资制度，健全完善绩效工资总量科学管理和动态调整机制。</w:t>
      </w:r>
      <w:r>
        <w:rPr>
          <w:rFonts w:ascii="仿宋_GB2312" w:hAnsi="仿宋_GB2312"/>
          <w:color w:val="000000"/>
          <w:spacing w:val="-10"/>
          <w:sz w:val="32"/>
          <w:szCs w:val="32"/>
        </w:rPr>
        <w:t>落实基本工资标准、艰苦边远地区津贴标准正常调整机制和高层次人才工资分配激励机制。完善事业单位工作人员福利制度和特殊岗位津贴补贴制度。支持和鼓励高校、科研院所等事业单位专业技术人员按规定兼职、离岗创新创业。按照自治区部署，深化公立医院薪酬制度改革，推进高校、科研院所薪酬制度改革。</w:t>
      </w:r>
    </w:p>
    <w:p w14:paraId="3B8E2CE3">
      <w:pPr>
        <w:pStyle w:val="3"/>
        <w:rPr>
          <w:rFonts w:ascii="楷体_GB2312"/>
          <w:b/>
        </w:rPr>
      </w:pPr>
      <w:r>
        <w:rPr>
          <w:rFonts w:hint="eastAsia" w:ascii="楷体_GB2312" w:hAnsi="楷体_GB2312"/>
          <w:b/>
        </w:rPr>
        <w:t xml:space="preserve">第三节 </w:t>
      </w:r>
      <w:r>
        <w:rPr>
          <w:rFonts w:ascii="楷体_GB2312" w:hAnsi="楷体_GB2312"/>
          <w:b/>
        </w:rPr>
        <w:t xml:space="preserve"> 规范表彰奖励工作</w:t>
      </w:r>
    </w:p>
    <w:p w14:paraId="585CD8F4">
      <w:pPr>
        <w:pStyle w:val="4"/>
        <w:spacing w:after="0" w:line="560" w:lineRule="exact"/>
        <w:ind w:right="105" w:rightChars="50" w:firstLine="600" w:firstLineChars="200"/>
        <w:rPr>
          <w:rFonts w:ascii="仿宋_GB2312" w:hAnsi="仿宋_GB2312"/>
          <w:color w:val="000000"/>
          <w:spacing w:val="-10"/>
          <w:sz w:val="32"/>
          <w:szCs w:val="32"/>
        </w:rPr>
      </w:pPr>
      <w:r>
        <w:rPr>
          <w:rFonts w:ascii="仿宋_GB2312" w:hAnsi="仿宋_GB2312"/>
          <w:color w:val="000000"/>
          <w:spacing w:val="-10"/>
          <w:sz w:val="32"/>
          <w:szCs w:val="32"/>
        </w:rPr>
        <w:t>按照国家、自治区要求，进一步规范市、县两级表彰，严格控制评选范围和表彰名额、制定评选标准和条件、履行评审程序。加大清理整治违规评比达标表彰和创建示范工作力度，探索多部门联合查处工作机制，切实维护党和国家功勋荣誉表彰制度的权威性和严肃性。加强对各地各部门表彰奖励工作的具体指导，做好表彰奖励项目申报、初审、批复、备案等日常工作。加大对表彰奖励获得者事迹的宣传力度，营造尊崇模范、争做先锋的良好氛围。</w:t>
      </w:r>
    </w:p>
    <w:p w14:paraId="7CFBF655">
      <w:pPr>
        <w:pStyle w:val="4"/>
        <w:spacing w:after="0" w:line="560" w:lineRule="exact"/>
        <w:ind w:right="105" w:rightChars="50" w:firstLine="600" w:firstLineChars="200"/>
        <w:rPr>
          <w:rFonts w:ascii="仿宋_GB2312" w:hAnsi="仿宋_GB2312"/>
          <w:color w:val="000000"/>
          <w:spacing w:val="-10"/>
          <w:sz w:val="32"/>
          <w:szCs w:val="32"/>
        </w:rPr>
      </w:pPr>
      <w:r>
        <w:rPr>
          <w:rFonts w:ascii="仿宋_GB2312" w:hAnsi="仿宋_GB2312"/>
          <w:color w:val="000000"/>
          <w:spacing w:val="-10"/>
          <w:sz w:val="32"/>
          <w:szCs w:val="32"/>
        </w:rPr>
        <w:t xml:space="preserve"> </w:t>
      </w:r>
    </w:p>
    <w:p w14:paraId="69261815">
      <w:pPr>
        <w:pStyle w:val="4"/>
        <w:spacing w:after="0" w:line="560" w:lineRule="exact"/>
        <w:ind w:right="105" w:rightChars="50" w:firstLine="600" w:firstLineChars="200"/>
        <w:rPr>
          <w:rFonts w:ascii="仿宋_GB2312" w:hAnsi="仿宋_GB2312"/>
          <w:color w:val="000000"/>
          <w:spacing w:val="-10"/>
          <w:sz w:val="32"/>
          <w:szCs w:val="32"/>
        </w:rPr>
      </w:pPr>
      <w:r>
        <w:rPr>
          <w:rFonts w:ascii="仿宋_GB2312" w:hAnsi="仿宋_GB2312"/>
          <w:color w:val="000000"/>
          <w:spacing w:val="-10"/>
          <w:sz w:val="32"/>
          <w:szCs w:val="32"/>
        </w:rPr>
        <w:t xml:space="preserve"> </w:t>
      </w:r>
    </w:p>
    <w:p w14:paraId="7576CB8C">
      <w:pPr>
        <w:pStyle w:val="4"/>
        <w:spacing w:after="0" w:line="560" w:lineRule="exact"/>
        <w:ind w:right="105" w:rightChars="50" w:firstLine="600" w:firstLineChars="200"/>
        <w:rPr>
          <w:rFonts w:ascii="仿宋_GB2312" w:hAnsi="仿宋_GB2312"/>
          <w:color w:val="000000"/>
          <w:spacing w:val="-10"/>
          <w:sz w:val="32"/>
          <w:szCs w:val="32"/>
        </w:rPr>
      </w:pPr>
      <w:r>
        <w:rPr>
          <w:rFonts w:ascii="仿宋_GB2312" w:hAnsi="仿宋_GB2312"/>
          <w:color w:val="000000"/>
          <w:spacing w:val="-10"/>
          <w:sz w:val="32"/>
          <w:szCs w:val="32"/>
        </w:rPr>
        <w:t xml:space="preserve"> </w:t>
      </w:r>
    </w:p>
    <w:p w14:paraId="696BA59B">
      <w:pPr>
        <w:pStyle w:val="4"/>
        <w:spacing w:after="0" w:line="560" w:lineRule="exact"/>
        <w:ind w:right="105" w:rightChars="50" w:firstLine="600" w:firstLineChars="200"/>
        <w:rPr>
          <w:rFonts w:ascii="仿宋_GB2312" w:hAnsi="仿宋_GB2312"/>
          <w:color w:val="000000"/>
          <w:spacing w:val="-10"/>
          <w:sz w:val="32"/>
          <w:szCs w:val="32"/>
        </w:rPr>
      </w:pPr>
      <w:r>
        <w:rPr>
          <w:rFonts w:ascii="仿宋_GB2312" w:hAnsi="仿宋_GB2312"/>
          <w:color w:val="000000"/>
          <w:spacing w:val="-10"/>
          <w:sz w:val="32"/>
          <w:szCs w:val="32"/>
        </w:rPr>
        <w:t xml:space="preserve"> </w:t>
      </w:r>
    </w:p>
    <w:p w14:paraId="61BD0CF0">
      <w:pPr>
        <w:pStyle w:val="4"/>
        <w:spacing w:after="0" w:line="560" w:lineRule="exact"/>
        <w:ind w:right="105" w:rightChars="50" w:firstLine="600" w:firstLineChars="200"/>
        <w:rPr>
          <w:rFonts w:ascii="仿宋_GB2312" w:hAnsi="仿宋_GB2312"/>
          <w:color w:val="000000"/>
          <w:spacing w:val="-10"/>
          <w:sz w:val="32"/>
          <w:szCs w:val="32"/>
        </w:rPr>
      </w:pPr>
      <w:r>
        <w:rPr>
          <w:rFonts w:ascii="仿宋_GB2312" w:hAnsi="仿宋_GB2312"/>
          <w:color w:val="000000"/>
          <w:spacing w:val="-10"/>
          <w:sz w:val="32"/>
          <w:szCs w:val="32"/>
        </w:rPr>
        <w:t xml:space="preserve"> </w:t>
      </w:r>
    </w:p>
    <w:p w14:paraId="2CA64707">
      <w:pPr>
        <w:pStyle w:val="4"/>
        <w:spacing w:after="0" w:line="560" w:lineRule="exact"/>
        <w:ind w:right="105" w:rightChars="50" w:firstLine="600" w:firstLineChars="200"/>
        <w:rPr>
          <w:rFonts w:ascii="仿宋_GB2312" w:hAnsi="仿宋_GB2312"/>
          <w:color w:val="000000"/>
          <w:spacing w:val="-10"/>
          <w:sz w:val="32"/>
          <w:szCs w:val="32"/>
        </w:rPr>
      </w:pPr>
      <w:r>
        <w:rPr>
          <w:rFonts w:ascii="仿宋_GB2312" w:hAnsi="仿宋_GB2312"/>
          <w:color w:val="000000"/>
          <w:spacing w:val="-10"/>
          <w:sz w:val="32"/>
          <w:szCs w:val="32"/>
        </w:rPr>
        <w:t xml:space="preserve"> </w:t>
      </w:r>
    </w:p>
    <w:p w14:paraId="01FFAA58">
      <w:pPr>
        <w:pStyle w:val="4"/>
        <w:spacing w:after="0" w:line="560" w:lineRule="exact"/>
        <w:ind w:right="105" w:rightChars="50" w:firstLine="600" w:firstLineChars="200"/>
        <w:rPr>
          <w:rFonts w:ascii="仿宋_GB2312" w:hAnsi="仿宋_GB2312"/>
          <w:color w:val="000000"/>
          <w:spacing w:val="-10"/>
          <w:sz w:val="32"/>
          <w:szCs w:val="32"/>
        </w:rPr>
      </w:pPr>
      <w:r>
        <w:rPr>
          <w:rFonts w:ascii="仿宋_GB2312" w:hAnsi="仿宋_GB2312"/>
          <w:color w:val="000000"/>
          <w:spacing w:val="-10"/>
          <w:sz w:val="32"/>
          <w:szCs w:val="32"/>
        </w:rPr>
        <w:t xml:space="preserve"> </w:t>
      </w:r>
    </w:p>
    <w:p w14:paraId="48369A6E">
      <w:pPr>
        <w:pStyle w:val="4"/>
        <w:spacing w:after="0" w:line="560" w:lineRule="exact"/>
        <w:ind w:right="105" w:rightChars="50" w:firstLine="600" w:firstLineChars="200"/>
        <w:rPr>
          <w:rFonts w:ascii="仿宋_GB2312" w:hAnsi="仿宋_GB2312"/>
          <w:color w:val="000000"/>
          <w:spacing w:val="-10"/>
          <w:sz w:val="32"/>
          <w:szCs w:val="32"/>
        </w:rPr>
      </w:pPr>
      <w:r>
        <w:rPr>
          <w:rFonts w:ascii="仿宋_GB2312" w:hAnsi="仿宋_GB2312"/>
          <w:color w:val="000000"/>
          <w:spacing w:val="-10"/>
          <w:sz w:val="32"/>
          <w:szCs w:val="32"/>
        </w:rPr>
        <w:t xml:space="preserve"> </w:t>
      </w:r>
    </w:p>
    <w:p w14:paraId="71CF4B19">
      <w:pPr>
        <w:pStyle w:val="4"/>
        <w:spacing w:after="0" w:line="560" w:lineRule="exact"/>
        <w:ind w:right="105" w:rightChars="50" w:firstLine="600" w:firstLineChars="200"/>
        <w:rPr>
          <w:rFonts w:ascii="仿宋_GB2312" w:hAnsi="仿宋_GB2312"/>
          <w:color w:val="000000"/>
          <w:spacing w:val="-10"/>
          <w:sz w:val="32"/>
          <w:szCs w:val="32"/>
        </w:rPr>
      </w:pPr>
      <w:r>
        <w:rPr>
          <w:rFonts w:ascii="仿宋_GB2312" w:hAnsi="仿宋_GB2312"/>
          <w:color w:val="000000"/>
          <w:spacing w:val="-10"/>
          <w:sz w:val="32"/>
          <w:szCs w:val="32"/>
        </w:rPr>
        <w:t xml:space="preserve"> </w:t>
      </w:r>
    </w:p>
    <w:p w14:paraId="3880E675">
      <w:pPr>
        <w:pStyle w:val="4"/>
        <w:spacing w:after="0" w:line="560" w:lineRule="exact"/>
        <w:ind w:right="105" w:rightChars="50" w:firstLine="600" w:firstLineChars="200"/>
        <w:rPr>
          <w:rFonts w:ascii="仿宋_GB2312" w:hAnsi="仿宋_GB2312"/>
          <w:color w:val="000000"/>
          <w:spacing w:val="-10"/>
          <w:sz w:val="32"/>
          <w:szCs w:val="32"/>
        </w:rPr>
      </w:pPr>
      <w:r>
        <w:rPr>
          <w:rFonts w:ascii="仿宋_GB2312" w:hAnsi="仿宋_GB2312"/>
          <w:color w:val="000000"/>
          <w:spacing w:val="-10"/>
          <w:sz w:val="32"/>
          <w:szCs w:val="32"/>
        </w:rPr>
        <w:t xml:space="preserve"> </w:t>
      </w:r>
    </w:p>
    <w:p w14:paraId="4415F164">
      <w:pPr>
        <w:pStyle w:val="4"/>
        <w:spacing w:after="0" w:line="560" w:lineRule="exact"/>
        <w:ind w:right="105" w:rightChars="50" w:firstLine="380" w:firstLineChars="200"/>
        <w:rPr>
          <w:rFonts w:ascii="仿宋_GB2312" w:hAnsi="仿宋_GB2312"/>
          <w:color w:val="000000"/>
          <w:spacing w:val="-10"/>
        </w:rPr>
      </w:pPr>
      <w:r>
        <w:rPr>
          <w:rFonts w:ascii="仿宋_GB2312" w:hAnsi="仿宋_GB2312"/>
          <w:color w:val="000000"/>
          <w:spacing w:val="-10"/>
        </w:rPr>
        <w:t xml:space="preserve"> </w:t>
      </w:r>
    </w:p>
    <w:p w14:paraId="18DA6FD5">
      <w:pPr>
        <w:pStyle w:val="2"/>
        <w:spacing w:before="0" w:after="0" w:line="560" w:lineRule="exact"/>
        <w:jc w:val="center"/>
        <w:rPr>
          <w:rFonts w:ascii="黑体" w:hAnsi="黑体" w:eastAsia="黑体"/>
          <w:b w:val="0"/>
          <w:sz w:val="32"/>
          <w:szCs w:val="32"/>
        </w:rPr>
      </w:pPr>
      <w:r>
        <w:rPr>
          <w:rFonts w:hint="eastAsia" w:ascii="黑体" w:hAnsi="黑体" w:eastAsia="黑体"/>
          <w:b w:val="0"/>
          <w:sz w:val="32"/>
          <w:szCs w:val="32"/>
        </w:rPr>
        <w:t xml:space="preserve">第六章 </w:t>
      </w:r>
      <w:r>
        <w:rPr>
          <w:rFonts w:ascii="黑体" w:hAnsi="黑体" w:eastAsia="黑体"/>
          <w:b w:val="0"/>
          <w:sz w:val="32"/>
          <w:szCs w:val="32"/>
        </w:rPr>
        <w:t xml:space="preserve"> </w:t>
      </w:r>
      <w:r>
        <w:rPr>
          <w:rFonts w:hint="eastAsia" w:ascii="黑体" w:hAnsi="黑体" w:eastAsia="黑体"/>
          <w:b w:val="0"/>
          <w:sz w:val="32"/>
          <w:szCs w:val="32"/>
        </w:rPr>
        <w:t>巩固和谐稳定的劳动关系</w:t>
      </w:r>
    </w:p>
    <w:p w14:paraId="0F010471">
      <w:pPr>
        <w:rPr>
          <w:rFonts w:hint="eastAsia" w:ascii="宋体" w:hAnsi="宋体"/>
        </w:rPr>
      </w:pPr>
      <w:r>
        <w:rPr>
          <w:rFonts w:hint="eastAsia" w:ascii="宋体" w:hAnsi="宋体"/>
        </w:rPr>
        <w:t xml:space="preserve"> </w:t>
      </w:r>
    </w:p>
    <w:p w14:paraId="35141029">
      <w:pPr>
        <w:spacing w:line="560" w:lineRule="exact"/>
        <w:ind w:firstLine="640" w:firstLineChars="200"/>
        <w:rPr>
          <w:rFonts w:hint="eastAsia" w:ascii="仿宋_GB2312" w:hAnsi="仿宋_GB2312"/>
          <w:sz w:val="32"/>
          <w:szCs w:val="32"/>
        </w:rPr>
      </w:pPr>
      <w:r>
        <w:rPr>
          <w:rFonts w:ascii="仿宋_GB2312" w:hAnsi="仿宋_GB2312"/>
          <w:sz w:val="32"/>
          <w:szCs w:val="32"/>
        </w:rPr>
        <w:t>坚持促进企业发展和维护职工权益并重，依法保护劳动者权益，全面提升劳动关系治理效能，为保障社会和谐稳定浇筑坚实基座。</w:t>
      </w:r>
    </w:p>
    <w:p w14:paraId="5DBCB5B5">
      <w:pPr>
        <w:pStyle w:val="3"/>
        <w:rPr>
          <w:rFonts w:ascii="楷体_GB2312"/>
          <w:b/>
        </w:rPr>
      </w:pPr>
      <w:r>
        <w:rPr>
          <w:rFonts w:hint="eastAsia" w:ascii="楷体_GB2312" w:hAnsi="楷体_GB2312"/>
          <w:b/>
        </w:rPr>
        <w:t xml:space="preserve">第一节 </w:t>
      </w:r>
      <w:r>
        <w:rPr>
          <w:rFonts w:ascii="楷体_GB2312" w:hAnsi="楷体_GB2312"/>
          <w:b/>
        </w:rPr>
        <w:t xml:space="preserve"> 健全劳动关系协调机制</w:t>
      </w:r>
    </w:p>
    <w:p w14:paraId="2B93BF2A">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坚持和完善党委领导、政府负责、社会协同、法制保障、企业和职工参与的劳动关系工作格局。实施劳动关系“和谐同行”能力提升三年（2020-2023）行动计划，坚持和完善以劳动合同制度、集体合同制度和协调劳动关系三方机制为核心的劳动关系协调机制。持续推进劳动用工备案制度，推广劳动用工信息网上备案，加强对企业用工的动态管理。加强劳务派遣监管，规范共享用工、非全职日制用工行为。</w:t>
      </w:r>
      <w:r>
        <w:rPr>
          <w:rFonts w:ascii="仿宋_GB2312" w:hAnsi="仿宋_GB2312"/>
          <w:color w:val="000000"/>
          <w:spacing w:val="-10"/>
          <w:kern w:val="0"/>
          <w:sz w:val="32"/>
          <w:szCs w:val="32"/>
        </w:rPr>
        <w:t>落实职工工作时间、休息休假规定，规范企业特殊工时审批管理。</w:t>
      </w:r>
      <w:r>
        <w:rPr>
          <w:rFonts w:ascii="仿宋_GB2312" w:hAnsi="仿宋_GB2312"/>
          <w:color w:val="000000"/>
          <w:sz w:val="32"/>
          <w:szCs w:val="32"/>
        </w:rPr>
        <w:t>加强劳动保障诚信体系建设，加大社会公布力度，实施联合惩戒。建立健全劳动关系风险监测预警机制，及时有效应对大规模、突发性劳动关系风险。深入开展和谐劳动关系创建活动，充分发挥引领示范效应，营造共建、共商、共享的和谐社会氛围。</w:t>
      </w:r>
    </w:p>
    <w:tbl>
      <w:tblPr>
        <w:tblStyle w:val="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88"/>
      </w:tblGrid>
      <w:tr w14:paraId="13C38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6" w:type="dxa"/>
            <w:tcBorders>
              <w:top w:val="single" w:color="000000" w:sz="4" w:space="0"/>
              <w:left w:val="single" w:color="000000" w:sz="4" w:space="0"/>
              <w:bottom w:val="single" w:color="000000" w:sz="4" w:space="0"/>
              <w:right w:val="single" w:color="000000" w:sz="4" w:space="0"/>
            </w:tcBorders>
          </w:tcPr>
          <w:p w14:paraId="5E198300">
            <w:pPr>
              <w:spacing w:line="560" w:lineRule="exact"/>
              <w:jc w:val="center"/>
              <w:rPr>
                <w:rFonts w:ascii="黑体" w:hAnsi="黑体" w:eastAsia="黑体" w:cs="仿宋_GB2312"/>
                <w:spacing w:val="-10"/>
                <w:sz w:val="24"/>
                <w:szCs w:val="24"/>
              </w:rPr>
            </w:pPr>
            <w:r>
              <w:rPr>
                <w:rFonts w:hint="eastAsia" w:ascii="黑体" w:hAnsi="黑体" w:eastAsia="黑体" w:cs="仿宋_GB2312"/>
                <w:spacing w:val="-10"/>
                <w:sz w:val="32"/>
                <w:szCs w:val="32"/>
              </w:rPr>
              <w:t>专栏11　劳动关系“和谐同行”能力提升计划</w:t>
            </w:r>
          </w:p>
        </w:tc>
      </w:tr>
      <w:tr w14:paraId="0A5F9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6" w:type="dxa"/>
            <w:tcBorders>
              <w:top w:val="single" w:color="000000" w:sz="4" w:space="0"/>
              <w:left w:val="single" w:color="000000" w:sz="4" w:space="0"/>
              <w:bottom w:val="single" w:color="000000" w:sz="4" w:space="0"/>
              <w:right w:val="single" w:color="000000" w:sz="4" w:space="0"/>
            </w:tcBorders>
          </w:tcPr>
          <w:p w14:paraId="4E4DBCF0">
            <w:pPr>
              <w:spacing w:line="560" w:lineRule="exact"/>
              <w:ind w:firstLine="522" w:firstLineChars="200"/>
              <w:rPr>
                <w:rFonts w:hint="eastAsia" w:ascii="仿宋_GB2312" w:hAnsi="仿宋_GB2312"/>
                <w:b/>
                <w:spacing w:val="-10"/>
                <w:sz w:val="28"/>
                <w:szCs w:val="28"/>
              </w:rPr>
            </w:pPr>
            <w:r>
              <w:rPr>
                <w:rFonts w:ascii="仿宋_GB2312" w:hAnsi="仿宋_GB2312"/>
                <w:b/>
                <w:spacing w:val="-10"/>
                <w:sz w:val="28"/>
                <w:szCs w:val="28"/>
              </w:rPr>
              <w:t>1.和谐劳动关系百千万计划</w:t>
            </w:r>
          </w:p>
          <w:p w14:paraId="17561E4E">
            <w:pPr>
              <w:adjustRightInd w:val="0"/>
              <w:snapToGrid w:val="0"/>
              <w:spacing w:line="560" w:lineRule="exact"/>
              <w:ind w:firstLine="520" w:firstLineChars="200"/>
              <w:rPr>
                <w:rFonts w:ascii="仿宋_GB2312" w:hAnsi="仿宋_GB2312"/>
                <w:bCs/>
                <w:spacing w:val="-10"/>
                <w:sz w:val="28"/>
                <w:szCs w:val="28"/>
              </w:rPr>
            </w:pPr>
            <w:r>
              <w:rPr>
                <w:rFonts w:ascii="仿宋_GB2312" w:hAnsi="仿宋_GB2312"/>
                <w:bCs/>
                <w:spacing w:val="-10"/>
                <w:sz w:val="28"/>
                <w:szCs w:val="28"/>
              </w:rPr>
              <w:t>促进全市劳动关系和谐稳定，每个旗县区打造1名金牌劳动关系协调员、1家金牌协调劳动关系社会组织、1户劳动关系和谐企业，开展服务新企业用工指导工作。</w:t>
            </w:r>
          </w:p>
          <w:p w14:paraId="5DD54504">
            <w:pPr>
              <w:adjustRightInd w:val="0"/>
              <w:snapToGrid w:val="0"/>
              <w:spacing w:line="560" w:lineRule="exact"/>
              <w:ind w:firstLine="522" w:firstLineChars="200"/>
              <w:rPr>
                <w:rFonts w:ascii="仿宋_GB2312" w:hAnsi="仿宋_GB2312"/>
                <w:b/>
                <w:spacing w:val="-10"/>
                <w:sz w:val="28"/>
                <w:szCs w:val="28"/>
              </w:rPr>
            </w:pPr>
            <w:r>
              <w:rPr>
                <w:rFonts w:ascii="仿宋_GB2312" w:hAnsi="仿宋_GB2312"/>
                <w:b/>
                <w:spacing w:val="-10"/>
                <w:sz w:val="28"/>
                <w:szCs w:val="28"/>
              </w:rPr>
              <w:t>2.重点企业用工指导计划</w:t>
            </w:r>
          </w:p>
          <w:p w14:paraId="59C58A83">
            <w:pPr>
              <w:adjustRightInd w:val="0"/>
              <w:snapToGrid w:val="0"/>
              <w:spacing w:line="560" w:lineRule="exact"/>
              <w:ind w:firstLine="520" w:firstLineChars="200"/>
              <w:rPr>
                <w:rFonts w:ascii="仿宋_GB2312" w:hAnsi="仿宋_GB2312"/>
                <w:spacing w:val="-10"/>
                <w:kern w:val="0"/>
                <w:sz w:val="28"/>
                <w:szCs w:val="28"/>
              </w:rPr>
            </w:pPr>
            <w:r>
              <w:rPr>
                <w:rFonts w:ascii="仿宋_GB2312" w:hAnsi="仿宋_GB2312"/>
                <w:bCs/>
                <w:spacing w:val="-10"/>
                <w:sz w:val="28"/>
                <w:szCs w:val="28"/>
              </w:rPr>
              <w:t>以用工规模较大、生产经营存在较大困难的企业为重点，指导企业采取多种措施稳定工作岗位，发挥集体协商协调劳动关系重要作用，引导企业与职工共渡难关，尽量不裁员、少裁员，稳定劳动关系。</w:t>
            </w:r>
          </w:p>
        </w:tc>
      </w:tr>
    </w:tbl>
    <w:p w14:paraId="105E1FB0">
      <w:pPr>
        <w:pStyle w:val="3"/>
        <w:rPr>
          <w:rFonts w:ascii="楷体_GB2312"/>
          <w:b/>
        </w:rPr>
      </w:pPr>
      <w:r>
        <w:rPr>
          <w:rFonts w:hint="eastAsia" w:ascii="楷体_GB2312" w:hAnsi="楷体_GB2312"/>
          <w:b/>
        </w:rPr>
        <w:t xml:space="preserve">第二节 </w:t>
      </w:r>
      <w:r>
        <w:rPr>
          <w:rFonts w:ascii="楷体_GB2312" w:hAnsi="楷体_GB2312"/>
          <w:b/>
        </w:rPr>
        <w:t xml:space="preserve"> 深化企业工资分配制度改革</w:t>
      </w:r>
    </w:p>
    <w:p w14:paraId="05F269E6">
      <w:pPr>
        <w:spacing w:line="560" w:lineRule="exact"/>
        <w:ind w:firstLine="640" w:firstLineChars="200"/>
        <w:jc w:val="left"/>
        <w:rPr>
          <w:rFonts w:ascii="仿宋_GB2312" w:hAnsi="仿宋_GB2312"/>
          <w:color w:val="000000"/>
          <w:sz w:val="32"/>
          <w:szCs w:val="32"/>
        </w:rPr>
      </w:pPr>
      <w:r>
        <w:rPr>
          <w:rFonts w:ascii="仿宋_GB2312" w:hAnsi="仿宋_GB2312"/>
          <w:color w:val="000000"/>
          <w:sz w:val="32"/>
          <w:szCs w:val="32"/>
        </w:rPr>
        <w:t>贯彻落实最低工资标准，提高企业薪酬调查的科学性、准确性，适时发布企业工资指导线、职业薪酬信息和行业人工成本信息，引导企业合理进行工资分配。逐步扩大工资集体协商覆盖面。深化国有企业工资决定机制改革，合理确定国有企业负责人薪酬水平，规范国有企业收入分配秩序。</w:t>
      </w:r>
    </w:p>
    <w:tbl>
      <w:tblPr>
        <w:tblStyle w:val="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88"/>
      </w:tblGrid>
      <w:tr w14:paraId="75803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14" w:type="dxa"/>
            <w:tcBorders>
              <w:top w:val="single" w:color="000000" w:sz="4" w:space="0"/>
              <w:left w:val="single" w:color="000000" w:sz="4" w:space="0"/>
              <w:bottom w:val="single" w:color="000000" w:sz="4" w:space="0"/>
              <w:right w:val="single" w:color="000000" w:sz="4" w:space="0"/>
            </w:tcBorders>
          </w:tcPr>
          <w:p w14:paraId="3FD5508E">
            <w:pPr>
              <w:spacing w:line="560" w:lineRule="exact"/>
              <w:jc w:val="center"/>
              <w:rPr>
                <w:rFonts w:ascii="黑体" w:hAnsi="黑体" w:eastAsia="黑体" w:cs="仿宋_GB2312"/>
                <w:spacing w:val="-10"/>
                <w:sz w:val="24"/>
                <w:szCs w:val="24"/>
              </w:rPr>
            </w:pPr>
            <w:r>
              <w:rPr>
                <w:rFonts w:hint="eastAsia" w:ascii="黑体" w:hAnsi="黑体" w:eastAsia="黑体" w:cs="仿宋_GB2312"/>
                <w:b/>
                <w:spacing w:val="-10"/>
                <w:sz w:val="32"/>
                <w:szCs w:val="32"/>
              </w:rPr>
              <w:t>专栏12　企业薪酬指引计划</w:t>
            </w:r>
          </w:p>
        </w:tc>
      </w:tr>
      <w:tr w14:paraId="298C3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14" w:type="dxa"/>
            <w:tcBorders>
              <w:top w:val="single" w:color="000000" w:sz="4" w:space="0"/>
              <w:left w:val="single" w:color="000000" w:sz="4" w:space="0"/>
              <w:bottom w:val="single" w:color="000000" w:sz="4" w:space="0"/>
              <w:right w:val="single" w:color="000000" w:sz="4" w:space="0"/>
            </w:tcBorders>
          </w:tcPr>
          <w:p w14:paraId="524B3064">
            <w:pPr>
              <w:spacing w:line="560" w:lineRule="exact"/>
              <w:ind w:firstLine="520" w:firstLineChars="200"/>
              <w:rPr>
                <w:rFonts w:hint="eastAsia" w:ascii="仿宋_GB2312" w:hAnsi="仿宋_GB2312"/>
                <w:b/>
                <w:spacing w:val="-10"/>
                <w:sz w:val="28"/>
                <w:szCs w:val="28"/>
              </w:rPr>
            </w:pPr>
            <w:r>
              <w:rPr>
                <w:rFonts w:ascii="仿宋_GB2312" w:hAnsi="仿宋_GB2312"/>
                <w:bCs/>
                <w:spacing w:val="-10"/>
                <w:sz w:val="28"/>
                <w:szCs w:val="28"/>
              </w:rPr>
              <w:t>健全人力资源市场工资价位信息体系，开展企业薪酬水平调查，加强技能人才薪酬分配指引，形成公开发布、定向反馈与针对性指导相结合的信息服务体系，优化企业工资收入分配指导服务。完善国有企业市场化薪酬分配机制，建立健全按业绩贡献决定薪酬的有效激励约束机制。</w:t>
            </w:r>
          </w:p>
        </w:tc>
      </w:tr>
    </w:tbl>
    <w:p w14:paraId="0413C0D1">
      <w:pPr>
        <w:pStyle w:val="3"/>
        <w:rPr>
          <w:rFonts w:ascii="楷体_GB2312"/>
          <w:b/>
        </w:rPr>
      </w:pPr>
      <w:r>
        <w:rPr>
          <w:rFonts w:hint="eastAsia" w:ascii="楷体_GB2312" w:hAnsi="楷体_GB2312"/>
          <w:b/>
        </w:rPr>
        <w:t xml:space="preserve">第三节 </w:t>
      </w:r>
      <w:r>
        <w:rPr>
          <w:rFonts w:ascii="楷体_GB2312" w:hAnsi="楷体_GB2312"/>
          <w:b/>
        </w:rPr>
        <w:t xml:space="preserve"> 提升劳动人事争议调解仲裁效能</w:t>
      </w:r>
    </w:p>
    <w:p w14:paraId="04D8C0C3">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推动劳动人事争议调解仲裁工作规范化、标准化、专业化、信息化建设。加大基层调解组织建设力度，以苏木乡镇（街道）劳动人事争议调解组织为重点，健全多层次、多渠道的调解服务网络，发挥“互联网+调解”线上优势，提高基层调解质效。健全劳动人事争议仲裁办案制度，优化仲裁办案程序，探索建立“互联网+仲裁”办案模式，充分发挥“一裁终局”制度快速化解争议的作用，扩大终局裁决比例。强化裁审衔接工作，探索建立有效衔接、标准统一的裁审协调机制。加强调解仲裁人员队伍建设，提升调解仲裁的专业化水平。</w:t>
      </w:r>
    </w:p>
    <w:tbl>
      <w:tblPr>
        <w:tblStyle w:val="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88"/>
      </w:tblGrid>
      <w:tr w14:paraId="438FF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789" w:type="dxa"/>
            <w:tcBorders>
              <w:top w:val="single" w:color="000000" w:sz="4" w:space="0"/>
              <w:left w:val="single" w:color="000000" w:sz="4" w:space="0"/>
              <w:bottom w:val="single" w:color="000000" w:sz="4" w:space="0"/>
              <w:right w:val="single" w:color="000000" w:sz="4" w:space="0"/>
            </w:tcBorders>
          </w:tcPr>
          <w:p w14:paraId="0A679A1D">
            <w:pPr>
              <w:spacing w:line="560" w:lineRule="exact"/>
              <w:jc w:val="center"/>
              <w:rPr>
                <w:rFonts w:ascii="黑体" w:hAnsi="黑体" w:eastAsia="黑体" w:cs="仿宋_GB2312"/>
                <w:color w:val="000000"/>
                <w:spacing w:val="-10"/>
                <w:sz w:val="24"/>
                <w:szCs w:val="24"/>
              </w:rPr>
            </w:pPr>
            <w:r>
              <w:rPr>
                <w:rFonts w:hint="eastAsia" w:ascii="黑体" w:hAnsi="黑体" w:eastAsia="黑体" w:cs="仿宋_GB2312"/>
                <w:color w:val="000000"/>
                <w:spacing w:val="-10"/>
                <w:sz w:val="32"/>
                <w:szCs w:val="32"/>
              </w:rPr>
              <w:t>专栏13　实施调解仲裁能力提升工程</w:t>
            </w:r>
          </w:p>
        </w:tc>
      </w:tr>
      <w:tr w14:paraId="3A25B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789" w:type="dxa"/>
            <w:tcBorders>
              <w:top w:val="single" w:color="000000" w:sz="4" w:space="0"/>
              <w:left w:val="single" w:color="000000" w:sz="4" w:space="0"/>
              <w:bottom w:val="single" w:color="000000" w:sz="4" w:space="0"/>
              <w:right w:val="single" w:color="000000" w:sz="4" w:space="0"/>
            </w:tcBorders>
          </w:tcPr>
          <w:p w14:paraId="040B220B">
            <w:pPr>
              <w:spacing w:line="560" w:lineRule="exact"/>
              <w:ind w:firstLine="522" w:firstLineChars="200"/>
              <w:rPr>
                <w:rFonts w:hint="eastAsia" w:ascii="仿宋_GB2312" w:hAnsi="仿宋_GB2312"/>
                <w:b/>
                <w:color w:val="000000"/>
                <w:spacing w:val="-10"/>
                <w:sz w:val="28"/>
                <w:szCs w:val="28"/>
              </w:rPr>
            </w:pPr>
            <w:r>
              <w:rPr>
                <w:rFonts w:ascii="仿宋_GB2312" w:hAnsi="仿宋_GB2312"/>
                <w:b/>
                <w:color w:val="000000"/>
                <w:spacing w:val="-10"/>
                <w:sz w:val="28"/>
                <w:szCs w:val="28"/>
              </w:rPr>
              <w:t>加强劳动争议调解队伍建设。</w:t>
            </w:r>
            <w:r>
              <w:rPr>
                <w:rFonts w:ascii="仿宋_GB2312" w:hAnsi="仿宋_GB2312"/>
                <w:bCs/>
                <w:color w:val="000000"/>
                <w:spacing w:val="-10"/>
                <w:sz w:val="28"/>
                <w:szCs w:val="28"/>
              </w:rPr>
              <w:t>提升基层劳动人事争议调解队伍整体水平，加强培训力度，采用轮训方式，实现全市174个苏木乡镇（街道）劳动人事争议调解中心培训全覆盖，全市劳动人事争议调解员培训全覆盖，进一步提升全市劳动人事争议的基层调解水平，提高调解成功率。</w:t>
            </w:r>
          </w:p>
        </w:tc>
      </w:tr>
    </w:tbl>
    <w:p w14:paraId="55402529">
      <w:pPr>
        <w:pStyle w:val="3"/>
        <w:rPr>
          <w:rFonts w:ascii="楷体_GB2312"/>
          <w:b/>
        </w:rPr>
      </w:pPr>
      <w:r>
        <w:rPr>
          <w:rFonts w:hint="eastAsia" w:ascii="楷体_GB2312" w:hAnsi="楷体_GB2312"/>
          <w:b/>
        </w:rPr>
        <w:t xml:space="preserve">第四节 </w:t>
      </w:r>
      <w:r>
        <w:rPr>
          <w:rFonts w:ascii="楷体_GB2312" w:hAnsi="楷体_GB2312"/>
          <w:b/>
        </w:rPr>
        <w:t xml:space="preserve"> 健全劳动保障监察执法体制机制</w:t>
      </w:r>
    </w:p>
    <w:p w14:paraId="18DE75BB">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贯彻落实《保障农民工工资支付条例》，充分发挥根治欠薪专项工作组成员单位职能作用，压紧压实属地和部门责任，依法维护农牧民工合法权益。推进劳动保障监察执法重心下移。</w:t>
      </w:r>
      <w:r>
        <w:rPr>
          <w:rFonts w:ascii="仿宋_GB2312" w:hAnsi="仿宋_GB2312"/>
          <w:color w:val="000000"/>
          <w:spacing w:val="-10"/>
          <w:sz w:val="32"/>
          <w:szCs w:val="32"/>
        </w:rPr>
        <w:t>开展企业守法诚信等级评价、重大违法行为社会公布、欠薪“黑名单”管理。</w:t>
      </w:r>
      <w:r>
        <w:rPr>
          <w:rFonts w:ascii="仿宋_GB2312" w:hAnsi="仿宋_GB2312"/>
          <w:color w:val="000000"/>
          <w:sz w:val="32"/>
          <w:szCs w:val="32"/>
        </w:rPr>
        <w:t>规范执法行为，落实执法“三项制度”和“双随机、一公开”监管制度，加大对违反劳动保障法律法规、侵害劳动者合法权益行为的查处力度，积极引导劳动者合法合理表达和协商解决诉求，高效稳妥化解矛盾。完善与刑事司法的衔接机制，严厉打击非法用工、拒不支付劳动报酬、侵害女工和未成年工合法权益等违法行为。</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14:paraId="143D2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56" w:type="dxa"/>
            <w:tcBorders>
              <w:top w:val="single" w:color="000000" w:sz="4" w:space="0"/>
              <w:left w:val="single" w:color="000000" w:sz="4" w:space="0"/>
              <w:bottom w:val="single" w:color="000000" w:sz="4" w:space="0"/>
              <w:right w:val="single" w:color="000000" w:sz="4" w:space="0"/>
            </w:tcBorders>
          </w:tcPr>
          <w:p w14:paraId="295746A0">
            <w:pPr>
              <w:spacing w:line="560" w:lineRule="exact"/>
              <w:jc w:val="center"/>
              <w:rPr>
                <w:rFonts w:ascii="黑体" w:hAnsi="黑体" w:eastAsia="黑体" w:cs="仿宋_GB2312"/>
                <w:color w:val="000000"/>
                <w:spacing w:val="-10"/>
                <w:sz w:val="32"/>
                <w:szCs w:val="32"/>
              </w:rPr>
            </w:pPr>
            <w:r>
              <w:rPr>
                <w:rFonts w:hint="eastAsia" w:ascii="黑体" w:hAnsi="黑体" w:eastAsia="黑体" w:cs="仿宋_GB2312"/>
                <w:color w:val="000000"/>
                <w:spacing w:val="-10"/>
                <w:sz w:val="32"/>
                <w:szCs w:val="32"/>
              </w:rPr>
              <w:t>专栏14　提升劳动保障监察执法效能</w:t>
            </w:r>
          </w:p>
        </w:tc>
      </w:tr>
      <w:tr w14:paraId="74A57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56" w:type="dxa"/>
            <w:tcBorders>
              <w:top w:val="single" w:color="000000" w:sz="4" w:space="0"/>
              <w:left w:val="single" w:color="000000" w:sz="4" w:space="0"/>
              <w:bottom w:val="single" w:color="000000" w:sz="4" w:space="0"/>
              <w:right w:val="single" w:color="000000" w:sz="4" w:space="0"/>
            </w:tcBorders>
          </w:tcPr>
          <w:p w14:paraId="099D5A7F">
            <w:pPr>
              <w:spacing w:line="400" w:lineRule="exact"/>
              <w:ind w:firstLine="522" w:firstLineChars="200"/>
              <w:rPr>
                <w:rFonts w:hint="eastAsia" w:ascii="仿宋_GB2312" w:hAnsi="仿宋_GB2312"/>
                <w:b/>
                <w:color w:val="000000"/>
                <w:spacing w:val="-10"/>
                <w:sz w:val="28"/>
                <w:szCs w:val="28"/>
              </w:rPr>
            </w:pPr>
            <w:r>
              <w:rPr>
                <w:rFonts w:ascii="仿宋_GB2312" w:hAnsi="仿宋_GB2312"/>
                <w:b/>
                <w:color w:val="000000"/>
                <w:spacing w:val="-10"/>
                <w:sz w:val="28"/>
                <w:szCs w:val="28"/>
              </w:rPr>
              <w:t>建设和谐劳动用工服务信息系统。</w:t>
            </w:r>
            <w:r>
              <w:rPr>
                <w:rFonts w:ascii="仿宋_GB2312" w:hAnsi="仿宋_GB2312"/>
                <w:bCs/>
                <w:color w:val="000000"/>
                <w:spacing w:val="-10"/>
                <w:sz w:val="28"/>
                <w:szCs w:val="28"/>
              </w:rPr>
              <w:t>按照自治区统一部署，推进建设贯通全区、联通全行业的劳动用工监管平台，实时监管全区劳动用工情况、按月足额发放工资等情况，提高智慧监察的能力和水平。</w:t>
            </w:r>
          </w:p>
        </w:tc>
      </w:tr>
    </w:tbl>
    <w:p w14:paraId="0B145E92">
      <w:pPr>
        <w:pStyle w:val="3"/>
        <w:rPr>
          <w:rFonts w:ascii="楷体_GB2312"/>
          <w:b/>
        </w:rPr>
      </w:pPr>
      <w:r>
        <w:rPr>
          <w:rFonts w:hint="eastAsia" w:ascii="楷体_GB2312" w:hAnsi="楷体_GB2312"/>
          <w:b/>
        </w:rPr>
        <w:t xml:space="preserve">第五节 </w:t>
      </w:r>
      <w:r>
        <w:rPr>
          <w:rFonts w:ascii="楷体_GB2312" w:hAnsi="楷体_GB2312"/>
          <w:b/>
        </w:rPr>
        <w:t xml:space="preserve"> 加强农牧民工工作</w:t>
      </w:r>
    </w:p>
    <w:p w14:paraId="277CBE1D">
      <w:pPr>
        <w:spacing w:line="560" w:lineRule="exact"/>
        <w:ind w:firstLine="640" w:firstLineChars="200"/>
        <w:rPr>
          <w:rFonts w:ascii="仿宋_GB2312" w:hAnsi="仿宋_GB2312"/>
          <w:sz w:val="32"/>
          <w:szCs w:val="32"/>
        </w:rPr>
      </w:pPr>
      <w:r>
        <w:rPr>
          <w:rFonts w:ascii="仿宋_GB2312" w:hAnsi="仿宋_GB2312"/>
          <w:sz w:val="32"/>
          <w:szCs w:val="32"/>
        </w:rPr>
        <w:t>全面提升农牧民工就业素质，有效对接培训需求，鼓励引导农牧民工参加技能培训，进一步稳定和扩大农牧民工就业。</w:t>
      </w:r>
      <w:r>
        <w:rPr>
          <w:rFonts w:ascii="仿宋_GB2312" w:hAnsi="仿宋_GB2312"/>
          <w:color w:val="000000"/>
          <w:sz w:val="32"/>
          <w:szCs w:val="32"/>
        </w:rPr>
        <w:t>强化劳务品牌建设，实施劳务品牌促就业计划，健全特色劳务品牌体系。</w:t>
      </w:r>
      <w:r>
        <w:rPr>
          <w:rFonts w:ascii="仿宋_GB2312" w:hAnsi="仿宋_GB2312"/>
          <w:sz w:val="32"/>
          <w:szCs w:val="32"/>
        </w:rPr>
        <w:t>完善农牧民工工作协调机制，推动农牧民工及随迁家属公平享受就业创业、义务教育、医疗保障、社会保险、权益维护、落户入户等城市基本公共服务。</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14:paraId="56264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98" w:type="dxa"/>
            <w:tcBorders>
              <w:top w:val="single" w:color="000000" w:sz="4" w:space="0"/>
              <w:left w:val="single" w:color="000000" w:sz="4" w:space="0"/>
              <w:bottom w:val="single" w:color="000000" w:sz="4" w:space="0"/>
              <w:right w:val="single" w:color="000000" w:sz="4" w:space="0"/>
            </w:tcBorders>
          </w:tcPr>
          <w:p w14:paraId="7796256A">
            <w:pPr>
              <w:spacing w:line="560" w:lineRule="exact"/>
              <w:jc w:val="center"/>
              <w:rPr>
                <w:rFonts w:ascii="黑体" w:hAnsi="黑体" w:eastAsia="黑体" w:cs="仿宋_GB2312"/>
                <w:color w:val="000000"/>
                <w:spacing w:val="-10"/>
                <w:sz w:val="32"/>
                <w:szCs w:val="32"/>
              </w:rPr>
            </w:pPr>
            <w:r>
              <w:rPr>
                <w:rFonts w:hint="eastAsia" w:ascii="黑体" w:hAnsi="黑体" w:eastAsia="黑体" w:cs="仿宋_GB2312"/>
                <w:color w:val="000000"/>
                <w:spacing w:val="-10"/>
                <w:sz w:val="32"/>
                <w:szCs w:val="32"/>
              </w:rPr>
              <w:t>专栏15　劳务品牌促就业计划</w:t>
            </w:r>
          </w:p>
        </w:tc>
      </w:tr>
      <w:tr w14:paraId="3CDEF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98" w:type="dxa"/>
            <w:tcBorders>
              <w:top w:val="single" w:color="000000" w:sz="4" w:space="0"/>
              <w:left w:val="single" w:color="000000" w:sz="4" w:space="0"/>
              <w:bottom w:val="single" w:color="000000" w:sz="4" w:space="0"/>
              <w:right w:val="single" w:color="000000" w:sz="4" w:space="0"/>
            </w:tcBorders>
          </w:tcPr>
          <w:p w14:paraId="166F09FD">
            <w:pPr>
              <w:adjustRightInd w:val="0"/>
              <w:snapToGrid w:val="0"/>
              <w:spacing w:line="560" w:lineRule="exact"/>
              <w:ind w:firstLine="560" w:firstLineChars="200"/>
              <w:rPr>
                <w:rFonts w:hint="eastAsia" w:ascii="仿宋_GB2312" w:hAnsi="仿宋_GB2312"/>
                <w:color w:val="000000"/>
                <w:spacing w:val="-10"/>
                <w:sz w:val="32"/>
                <w:szCs w:val="32"/>
              </w:rPr>
            </w:pPr>
            <w:r>
              <w:rPr>
                <w:rFonts w:ascii="仿宋_GB2312" w:hAnsi="仿宋_GB2312"/>
                <w:sz w:val="28"/>
                <w:szCs w:val="28"/>
              </w:rPr>
              <w:t>健全劳务品牌建设机制，加强劳务品牌发现培育，加快劳务品牌发展提升，加速劳务品牌壮大升级，培育龙头企业，发展产业园区，开展选树推介，打造一批叫得响的劳务品牌。</w:t>
            </w:r>
          </w:p>
        </w:tc>
      </w:tr>
    </w:tbl>
    <w:p w14:paraId="4FF8869B">
      <w:pPr>
        <w:pStyle w:val="2"/>
        <w:spacing w:before="0" w:after="0" w:line="560" w:lineRule="exact"/>
        <w:ind w:left="1155"/>
        <w:rPr>
          <w:rFonts w:ascii="黑体" w:hAnsi="黑体" w:eastAsia="黑体"/>
          <w:b w:val="0"/>
          <w:sz w:val="32"/>
          <w:szCs w:val="32"/>
        </w:rPr>
      </w:pPr>
      <w:r>
        <w:rPr>
          <w:rFonts w:hint="eastAsia" w:ascii="黑体" w:hAnsi="黑体" w:eastAsia="黑体"/>
          <w:b w:val="0"/>
          <w:sz w:val="32"/>
          <w:szCs w:val="32"/>
        </w:rPr>
        <w:t xml:space="preserve"> </w:t>
      </w:r>
    </w:p>
    <w:p w14:paraId="0C50D6C2">
      <w:pPr>
        <w:rPr>
          <w:rFonts w:hint="eastAsia"/>
        </w:rPr>
      </w:pPr>
      <w:r>
        <w:t xml:space="preserve"> </w:t>
      </w:r>
    </w:p>
    <w:p w14:paraId="144B79EA">
      <w:r>
        <w:t xml:space="preserve"> </w:t>
      </w:r>
    </w:p>
    <w:p w14:paraId="2E90CAA5">
      <w:r>
        <w:t xml:space="preserve"> </w:t>
      </w:r>
    </w:p>
    <w:p w14:paraId="03BADE1B">
      <w:r>
        <w:t xml:space="preserve"> </w:t>
      </w:r>
    </w:p>
    <w:p w14:paraId="32E77432">
      <w:r>
        <w:t xml:space="preserve"> </w:t>
      </w:r>
    </w:p>
    <w:p w14:paraId="74617974">
      <w:r>
        <w:t xml:space="preserve"> </w:t>
      </w:r>
    </w:p>
    <w:p w14:paraId="5A7D486E">
      <w:r>
        <w:t xml:space="preserve"> </w:t>
      </w:r>
    </w:p>
    <w:p w14:paraId="13509661">
      <w:r>
        <w:t xml:space="preserve"> </w:t>
      </w:r>
    </w:p>
    <w:p w14:paraId="15A5C8BB">
      <w:r>
        <w:t xml:space="preserve"> </w:t>
      </w:r>
    </w:p>
    <w:p w14:paraId="141257F9">
      <w:r>
        <w:t xml:space="preserve"> </w:t>
      </w:r>
    </w:p>
    <w:p w14:paraId="1EC59B1D">
      <w:r>
        <w:t xml:space="preserve"> </w:t>
      </w:r>
    </w:p>
    <w:p w14:paraId="1DDC6F18">
      <w:r>
        <w:t xml:space="preserve"> </w:t>
      </w:r>
    </w:p>
    <w:p w14:paraId="2C9EB11B">
      <w:r>
        <w:t xml:space="preserve"> </w:t>
      </w:r>
    </w:p>
    <w:p w14:paraId="5EFD13ED">
      <w:r>
        <w:t xml:space="preserve"> </w:t>
      </w:r>
    </w:p>
    <w:p w14:paraId="2DF25100">
      <w:pPr>
        <w:rPr>
          <w:rFonts w:ascii="宋体" w:hAnsi="宋体"/>
        </w:rPr>
      </w:pPr>
      <w:r>
        <w:rPr>
          <w:rFonts w:hint="eastAsia" w:ascii="宋体" w:hAnsi="宋体"/>
        </w:rPr>
        <w:t xml:space="preserve"> </w:t>
      </w:r>
    </w:p>
    <w:p w14:paraId="441A480A">
      <w:pPr>
        <w:rPr>
          <w:rFonts w:hint="eastAsia"/>
        </w:rPr>
      </w:pPr>
      <w:r>
        <w:t xml:space="preserve"> </w:t>
      </w:r>
    </w:p>
    <w:p w14:paraId="3F4A75B5">
      <w:r>
        <w:t xml:space="preserve"> </w:t>
      </w:r>
    </w:p>
    <w:p w14:paraId="269284EF">
      <w:pPr>
        <w:rPr>
          <w:rFonts w:ascii="宋体" w:hAnsi="宋体"/>
        </w:rPr>
      </w:pPr>
      <w:r>
        <w:rPr>
          <w:rFonts w:hint="eastAsia" w:ascii="宋体" w:hAnsi="宋体"/>
        </w:rPr>
        <w:t xml:space="preserve"> </w:t>
      </w:r>
    </w:p>
    <w:p w14:paraId="5E02990B">
      <w:pPr>
        <w:pStyle w:val="2"/>
        <w:spacing w:before="0" w:after="0" w:line="560" w:lineRule="exact"/>
        <w:jc w:val="center"/>
        <w:rPr>
          <w:rFonts w:hint="eastAsia" w:ascii="黑体" w:hAnsi="黑体" w:eastAsia="黑体"/>
          <w:b w:val="0"/>
          <w:sz w:val="32"/>
          <w:szCs w:val="32"/>
        </w:rPr>
      </w:pPr>
      <w:r>
        <w:rPr>
          <w:rFonts w:hint="eastAsia" w:ascii="黑体" w:hAnsi="黑体" w:eastAsia="黑体"/>
          <w:b w:val="0"/>
          <w:sz w:val="32"/>
          <w:szCs w:val="32"/>
        </w:rPr>
        <w:t xml:space="preserve">第七章 </w:t>
      </w:r>
      <w:r>
        <w:rPr>
          <w:rFonts w:ascii="黑体" w:hAnsi="黑体" w:eastAsia="黑体"/>
          <w:b w:val="0"/>
          <w:sz w:val="32"/>
          <w:szCs w:val="32"/>
        </w:rPr>
        <w:t xml:space="preserve"> </w:t>
      </w:r>
      <w:r>
        <w:rPr>
          <w:rFonts w:hint="eastAsia" w:ascii="黑体" w:hAnsi="黑体" w:eastAsia="黑体"/>
          <w:b w:val="0"/>
          <w:sz w:val="32"/>
          <w:szCs w:val="32"/>
        </w:rPr>
        <w:t>提升基本公共服务水平</w:t>
      </w:r>
    </w:p>
    <w:p w14:paraId="24B61B22">
      <w:pPr>
        <w:rPr>
          <w:rFonts w:hint="eastAsia" w:ascii="宋体" w:hAnsi="宋体"/>
        </w:rPr>
      </w:pPr>
      <w:r>
        <w:rPr>
          <w:rFonts w:hint="eastAsia" w:ascii="宋体" w:hAnsi="宋体"/>
        </w:rPr>
        <w:t xml:space="preserve"> </w:t>
      </w:r>
    </w:p>
    <w:p w14:paraId="793B9C8C">
      <w:pPr>
        <w:spacing w:line="560" w:lineRule="exact"/>
        <w:ind w:firstLine="640" w:firstLineChars="200"/>
        <w:rPr>
          <w:rFonts w:hint="eastAsia" w:ascii="方正仿宋简体" w:hAnsi="方正仿宋简体"/>
          <w:sz w:val="32"/>
          <w:szCs w:val="32"/>
        </w:rPr>
      </w:pPr>
      <w:r>
        <w:rPr>
          <w:rFonts w:ascii="仿宋_GB2312" w:hAnsi="仿宋_GB2312"/>
          <w:sz w:val="32"/>
          <w:szCs w:val="32"/>
        </w:rPr>
        <w:t>以提高我市人力资源和社会保障基本公共服务专业化、标准化、信息化水平为目标，加快构建覆盖全民、城乡一体、普惠可及、高效优质、保障公平的人力资源和社会保障公共服务体系。</w:t>
      </w:r>
    </w:p>
    <w:p w14:paraId="7EF1A5B6">
      <w:pPr>
        <w:pStyle w:val="3"/>
        <w:rPr>
          <w:rFonts w:ascii="楷体_GB2312"/>
          <w:b/>
        </w:rPr>
      </w:pPr>
      <w:r>
        <w:rPr>
          <w:rFonts w:hint="eastAsia" w:ascii="楷体_GB2312" w:hAnsi="楷体_GB2312"/>
          <w:b/>
        </w:rPr>
        <w:t xml:space="preserve">第一节 </w:t>
      </w:r>
      <w:r>
        <w:rPr>
          <w:rFonts w:ascii="楷体_GB2312" w:hAnsi="楷体_GB2312"/>
          <w:b/>
        </w:rPr>
        <w:t xml:space="preserve"> 推进基本公共服务均等化</w:t>
      </w:r>
    </w:p>
    <w:p w14:paraId="176F24E4">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加强城乡基本公共服务一体化建设，推广应用全区人力资源社会保障一体化公共服务平台、“四位一体”公共就业服务平台、社会保险服务平台、人才信息服务平台、流动人员人事档案管理服务平台、人事考试综合服务平台。加大农村牧区基本公共服务建设力度，推进公共服务信息网络向村、嘎查延伸。加快基础公共服务设施建设，推动实现“日常业务基层办、简单业务设备办”。鼓励支持与其他公共服务体系共建共享，逐步缩小城乡基本公共服务差距。</w:t>
      </w:r>
    </w:p>
    <w:p w14:paraId="1DE6F65A">
      <w:pPr>
        <w:pStyle w:val="3"/>
        <w:rPr>
          <w:rFonts w:ascii="楷体_GB2312"/>
          <w:b/>
        </w:rPr>
      </w:pPr>
      <w:r>
        <w:rPr>
          <w:rFonts w:hint="eastAsia" w:ascii="楷体_GB2312" w:hAnsi="楷体_GB2312"/>
          <w:b/>
        </w:rPr>
        <w:t xml:space="preserve">第二节 </w:t>
      </w:r>
      <w:r>
        <w:rPr>
          <w:rFonts w:ascii="楷体_GB2312" w:hAnsi="楷体_GB2312"/>
          <w:b/>
        </w:rPr>
        <w:t xml:space="preserve"> 推进政务服务标准化</w:t>
      </w:r>
    </w:p>
    <w:p w14:paraId="4085A506">
      <w:pPr>
        <w:spacing w:line="560" w:lineRule="exact"/>
        <w:ind w:firstLine="640" w:firstLineChars="200"/>
        <w:rPr>
          <w:rFonts w:ascii="方正仿宋简体" w:hAnsi="方正仿宋简体"/>
          <w:color w:val="000000"/>
          <w:sz w:val="32"/>
          <w:szCs w:val="32"/>
        </w:rPr>
      </w:pPr>
      <w:r>
        <w:rPr>
          <w:rFonts w:ascii="仿宋_GB2312" w:hAnsi="仿宋_GB2312"/>
          <w:color w:val="000000"/>
          <w:sz w:val="32"/>
          <w:szCs w:val="32"/>
        </w:rPr>
        <w:t>落实人力资源和社会保障公共服务标准和基本公共服务规范。建立健全审批服务事项清单动态调整机制，实现系统事项清单统一规范。健全人力资源社会保障政务服务标准规范和办事指南，实现同一事项在全市区域无差别受理、同标准办理。</w:t>
      </w:r>
    </w:p>
    <w:p w14:paraId="6218B836">
      <w:pPr>
        <w:pStyle w:val="3"/>
        <w:rPr>
          <w:rFonts w:ascii="楷体_GB2312"/>
          <w:b/>
        </w:rPr>
      </w:pPr>
      <w:r>
        <w:rPr>
          <w:rFonts w:hint="eastAsia" w:ascii="楷体_GB2312" w:hAnsi="楷体_GB2312"/>
          <w:b/>
        </w:rPr>
        <w:t xml:space="preserve">第三节 </w:t>
      </w:r>
      <w:r>
        <w:rPr>
          <w:rFonts w:ascii="楷体_GB2312" w:hAnsi="楷体_GB2312"/>
          <w:b/>
        </w:rPr>
        <w:t xml:space="preserve"> 全面推进信息化建设</w:t>
      </w:r>
    </w:p>
    <w:p w14:paraId="695FD212">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全面推进“互联网+人社服务”，推动人社系统数据向上集中、服务向下延伸，实现“全数据共享、全服务上网、全业务用卡”。加大政务服务大厅建设力度，做好全区人社全业务“综合柜员制”试点工作，全面推行“单人临柜、全科受理”</w:t>
      </w:r>
      <w:r>
        <w:rPr>
          <w:rFonts w:ascii="仿宋_GB2312" w:hAnsi="仿宋_GB2312"/>
          <w:sz w:val="32"/>
          <w:szCs w:val="32"/>
        </w:rPr>
        <w:t>。统筹抓好人力资源社会保障窗口单位作风建设，提升经办队伍服务水平，增强服务意识，提高服务能力，优化服务流程，持续为广大群众和企业提供高效优质便捷的服务。</w:t>
      </w:r>
      <w:r>
        <w:rPr>
          <w:rFonts w:ascii="仿宋_GB2312" w:hAnsi="仿宋_GB2312"/>
          <w:color w:val="000000"/>
          <w:sz w:val="32"/>
          <w:szCs w:val="32"/>
        </w:rPr>
        <w:t>加快拓展社会保障卡功能和应用，实现社会保障卡在人力资源社会保障领域的应用，加快推进社会保障卡在惠民资金、医疗卫生等其他公共服务领域的应用，推动实现社会保障卡公共服务“一卡通”。严格落实等级保护和分级保护制度，按照自治区统一部署，启动实施“金保工程”三期建设，全面提升人力资源社会保障信息化安全监管水平。</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14:paraId="6AB1A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99" w:type="dxa"/>
            <w:tcBorders>
              <w:top w:val="single" w:color="000000" w:sz="4" w:space="0"/>
              <w:left w:val="single" w:color="000000" w:sz="4" w:space="0"/>
              <w:bottom w:val="single" w:color="000000" w:sz="4" w:space="0"/>
              <w:right w:val="single" w:color="000000" w:sz="4" w:space="0"/>
            </w:tcBorders>
          </w:tcPr>
          <w:p w14:paraId="1C0AF04E">
            <w:pPr>
              <w:spacing w:line="560" w:lineRule="exact"/>
              <w:jc w:val="center"/>
              <w:rPr>
                <w:rFonts w:ascii="黑体" w:hAnsi="黑体" w:eastAsia="黑体" w:cs="仿宋_GB2312"/>
                <w:color w:val="000000"/>
                <w:spacing w:val="-10"/>
                <w:sz w:val="32"/>
                <w:szCs w:val="32"/>
              </w:rPr>
            </w:pPr>
            <w:bookmarkStart w:id="2" w:name="_Toc696997501"/>
            <w:r>
              <w:rPr>
                <w:rFonts w:hint="eastAsia" w:ascii="黑体" w:hAnsi="黑体" w:eastAsia="黑体" w:cs="仿宋_GB2312"/>
                <w:color w:val="000000"/>
                <w:spacing w:val="-10"/>
                <w:sz w:val="32"/>
                <w:szCs w:val="32"/>
              </w:rPr>
              <w:t>专栏16  信息化建设工程</w:t>
            </w:r>
            <w:bookmarkEnd w:id="2"/>
          </w:p>
        </w:tc>
      </w:tr>
      <w:tr w14:paraId="0CF69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99" w:type="dxa"/>
            <w:tcBorders>
              <w:top w:val="single" w:color="000000" w:sz="4" w:space="0"/>
              <w:left w:val="single" w:color="000000" w:sz="4" w:space="0"/>
              <w:bottom w:val="single" w:color="000000" w:sz="4" w:space="0"/>
              <w:right w:val="single" w:color="000000" w:sz="4" w:space="0"/>
            </w:tcBorders>
          </w:tcPr>
          <w:p w14:paraId="3D269A34">
            <w:pPr>
              <w:spacing w:line="560" w:lineRule="exact"/>
              <w:ind w:firstLine="522" w:firstLineChars="200"/>
              <w:rPr>
                <w:rFonts w:hint="eastAsia" w:ascii="仿宋_GB2312" w:hAnsi="仿宋_GB2312"/>
                <w:b/>
                <w:sz w:val="28"/>
                <w:szCs w:val="28"/>
              </w:rPr>
            </w:pPr>
            <w:r>
              <w:rPr>
                <w:rFonts w:ascii="仿宋_GB2312" w:hAnsi="仿宋_GB2312"/>
                <w:b/>
                <w:spacing w:val="-10"/>
                <w:sz w:val="28"/>
                <w:szCs w:val="28"/>
              </w:rPr>
              <w:t>人社信息化便民服务创新提升行动。</w:t>
            </w:r>
            <w:r>
              <w:rPr>
                <w:rFonts w:ascii="仿宋_GB2312" w:hAnsi="仿宋_GB2312"/>
                <w:spacing w:val="-10"/>
                <w:sz w:val="28"/>
                <w:szCs w:val="28"/>
              </w:rPr>
              <w:t>聚焦解决当前企业群众办事堵点痛点和监管能力不足问题，适应人员流动和平台经济等发展要求，以人力资源社会保障部系统为支撑，以自治区级平台系统为枢纽，推动利用数据资源，简化优化业务流程，在全市范围内推动人社系统“全数据共享、全服务上网、全业务用卡”，全面提升人社信息化便民服务水平。</w:t>
            </w:r>
          </w:p>
        </w:tc>
      </w:tr>
    </w:tbl>
    <w:p w14:paraId="6B71708F">
      <w:pPr>
        <w:pStyle w:val="3"/>
        <w:rPr>
          <w:rFonts w:ascii="楷体_GB2312"/>
          <w:b/>
        </w:rPr>
      </w:pPr>
      <w:r>
        <w:rPr>
          <w:rFonts w:hint="eastAsia" w:ascii="楷体_GB2312" w:hAnsi="楷体_GB2312"/>
          <w:b/>
        </w:rPr>
        <w:t xml:space="preserve">第四节 </w:t>
      </w:r>
      <w:r>
        <w:rPr>
          <w:rFonts w:ascii="楷体_GB2312" w:hAnsi="楷体_GB2312"/>
          <w:b/>
        </w:rPr>
        <w:t xml:space="preserve"> 持续加强系统行风建设</w:t>
      </w:r>
    </w:p>
    <w:p w14:paraId="79F8166E">
      <w:pPr>
        <w:spacing w:line="560" w:lineRule="exact"/>
        <w:ind w:firstLine="640" w:firstLineChars="200"/>
        <w:rPr>
          <w:rFonts w:ascii="仿宋_GB2312" w:hAnsi="仿宋_GB2312"/>
          <w:sz w:val="32"/>
          <w:szCs w:val="32"/>
        </w:rPr>
      </w:pPr>
      <w:r>
        <w:rPr>
          <w:rFonts w:ascii="仿宋_GB2312" w:hAnsi="仿宋_GB2312"/>
          <w:sz w:val="32"/>
          <w:szCs w:val="32"/>
        </w:rPr>
        <w:t>以“清、减、压”为主线，</w:t>
      </w:r>
      <w:r>
        <w:rPr>
          <w:rFonts w:ascii="仿宋_GB2312" w:hAnsi="仿宋_GB2312"/>
          <w:color w:val="000000"/>
          <w:sz w:val="32"/>
          <w:szCs w:val="32"/>
        </w:rPr>
        <w:t>深入推进“人社服务快办行动”，优化人社领域营商环境，</w:t>
      </w:r>
      <w:r>
        <w:rPr>
          <w:rFonts w:ascii="仿宋_GB2312" w:hAnsi="仿宋_GB2312"/>
          <w:sz w:val="32"/>
          <w:szCs w:val="32"/>
        </w:rPr>
        <w:t>加快关联事项“打包办”全面落地，推进服务事项“简便办”和高频事项“提速办”。</w:t>
      </w:r>
      <w:r>
        <w:rPr>
          <w:rFonts w:ascii="仿宋_GB2312" w:hAnsi="仿宋_GB2312"/>
          <w:spacing w:val="-10"/>
          <w:sz w:val="32"/>
          <w:szCs w:val="32"/>
        </w:rPr>
        <w:t>落实人力资源社会保障公共服务从业人员继续教育制度，实施人社经办管理服务能力提升工程。</w:t>
      </w:r>
      <w:r>
        <w:rPr>
          <w:rFonts w:ascii="仿宋_GB2312" w:hAnsi="仿宋_GB2312"/>
          <w:sz w:val="32"/>
          <w:szCs w:val="32"/>
        </w:rPr>
        <w:t>落实政务服务“好差评”制度，提升社会监督水平。开展“局长走流程”，切实解决服务流程中的堵点、群众办事的难点、行风建设的痛点。开展窗口单位明察暗访，及时通报负面典型案例，以案示警、以案促改。开展业务技能比武练兵活动，培育更多“人社通”“一口清”。加大政策宣传力度，开展政策解读活动，让群众“看得懂、算得清”。</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14:paraId="2BAB6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83" w:type="dxa"/>
            <w:tcBorders>
              <w:top w:val="single" w:color="000000" w:sz="4" w:space="0"/>
              <w:left w:val="single" w:color="000000" w:sz="4" w:space="0"/>
              <w:bottom w:val="single" w:color="000000" w:sz="4" w:space="0"/>
              <w:right w:val="single" w:color="000000" w:sz="4" w:space="0"/>
            </w:tcBorders>
          </w:tcPr>
          <w:p w14:paraId="3D817D29">
            <w:pPr>
              <w:spacing w:line="560" w:lineRule="exact"/>
              <w:jc w:val="center"/>
              <w:rPr>
                <w:rFonts w:ascii="黑体" w:hAnsi="黑体" w:eastAsia="黑体" w:cs="仿宋_GB2312"/>
                <w:color w:val="000000"/>
                <w:spacing w:val="-10"/>
                <w:sz w:val="32"/>
                <w:szCs w:val="32"/>
              </w:rPr>
            </w:pPr>
            <w:r>
              <w:rPr>
                <w:rFonts w:hint="eastAsia" w:ascii="黑体" w:hAnsi="黑体" w:eastAsia="黑体" w:cs="仿宋_GB2312"/>
                <w:color w:val="000000"/>
                <w:spacing w:val="-10"/>
                <w:sz w:val="32"/>
                <w:szCs w:val="32"/>
              </w:rPr>
              <w:t>专栏17  人社经办管理服务能力提升工程</w:t>
            </w:r>
          </w:p>
        </w:tc>
      </w:tr>
      <w:tr w14:paraId="4BF66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83" w:type="dxa"/>
            <w:tcBorders>
              <w:top w:val="single" w:color="000000" w:sz="4" w:space="0"/>
              <w:left w:val="single" w:color="000000" w:sz="4" w:space="0"/>
              <w:bottom w:val="single" w:color="000000" w:sz="4" w:space="0"/>
              <w:right w:val="single" w:color="000000" w:sz="4" w:space="0"/>
            </w:tcBorders>
          </w:tcPr>
          <w:p w14:paraId="6A07E558">
            <w:pPr>
              <w:spacing w:line="560" w:lineRule="exact"/>
              <w:ind w:firstLine="520" w:firstLineChars="200"/>
              <w:rPr>
                <w:rFonts w:hint="eastAsia" w:ascii="仿宋_GB2312" w:hAnsi="仿宋_GB2312"/>
                <w:b/>
                <w:spacing w:val="-10"/>
                <w:sz w:val="28"/>
                <w:szCs w:val="28"/>
              </w:rPr>
            </w:pPr>
            <w:r>
              <w:rPr>
                <w:rFonts w:ascii="仿宋_GB2312" w:hAnsi="仿宋_GB2312"/>
                <w:spacing w:val="-10"/>
                <w:sz w:val="28"/>
                <w:szCs w:val="28"/>
              </w:rPr>
              <w:t>依托自治区人力资源社会保障窗口单位经办队伍综合素质提升工程，鼓励和引导业务经办人员参加业务技能学习，通过专业化、精准化、个性化培训，提升人力资源社会保障窗口单位经办队伍的服务能力和专业化水平。</w:t>
            </w:r>
          </w:p>
        </w:tc>
      </w:tr>
    </w:tbl>
    <w:p w14:paraId="45DDE7F3">
      <w:pPr>
        <w:pStyle w:val="3"/>
        <w:rPr>
          <w:rFonts w:ascii="楷体_GB2312"/>
          <w:b/>
        </w:rPr>
      </w:pPr>
      <w:r>
        <w:rPr>
          <w:rFonts w:hint="eastAsia" w:ascii="楷体_GB2312" w:hAnsi="楷体_GB2312"/>
          <w:b/>
        </w:rPr>
        <w:t xml:space="preserve">第五节 </w:t>
      </w:r>
      <w:r>
        <w:rPr>
          <w:rFonts w:ascii="楷体_GB2312" w:hAnsi="楷体_GB2312"/>
          <w:b/>
        </w:rPr>
        <w:t xml:space="preserve"> 促进脱贫攻坚与乡村振兴有效衔接</w:t>
      </w:r>
    </w:p>
    <w:p w14:paraId="6D183183">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保持人力资源和社会保障扶贫政策的连续性、稳定性，推动脱贫攻坚与实施乡村振兴战略有机结合。深化对口劳务协作，引导脱贫人口有组织、成建制地转移就业。支持扶贫车间发展，落实各项补贴政策，吸纳脱贫劳动力就近就地就业。鼓励农牧民工返乡入乡创业，建设一批创业园、创业示范店，带动脱贫劳动力就业。持续做好易地扶贫搬迁脱贫人口就业帮扶工作，确保稳得住、有就业、逐步能致富。鼓励脱贫人口通过多种渠道灵活就业。科学合理设置公益性岗位，兜底保障脱贫人口就业。把脱贫人口作为技能提升的重点对象，帮助脱贫人口实现技能就业、技能增收。推进农村牧区社会保障体系建设，接续落实脱贫攻坚城乡基本养老保险代缴政策，确保各项待遇按时足额发放。实施乡村人才振兴战略</w:t>
      </w:r>
      <w:r>
        <w:rPr>
          <w:rFonts w:ascii="仿宋_GB2312" w:hAnsi="仿宋_GB2312"/>
          <w:sz w:val="32"/>
          <w:szCs w:val="32"/>
        </w:rPr>
        <w:t>，</w:t>
      </w:r>
      <w:r>
        <w:rPr>
          <w:rFonts w:ascii="仿宋_GB2312" w:hAnsi="仿宋_GB2312"/>
          <w:color w:val="000000"/>
          <w:sz w:val="32"/>
          <w:szCs w:val="32"/>
        </w:rPr>
        <w:t>持续为农村牧区提供智力支持，助力乡村振兴。</w:t>
      </w:r>
    </w:p>
    <w:p w14:paraId="54305F6E">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 xml:space="preserve"> </w:t>
      </w:r>
    </w:p>
    <w:p w14:paraId="5EC9EE14">
      <w:pPr>
        <w:spacing w:line="560" w:lineRule="exact"/>
        <w:ind w:firstLine="640" w:firstLineChars="200"/>
        <w:rPr>
          <w:rFonts w:ascii="方正仿宋简体" w:hAnsi="方正仿宋简体"/>
          <w:color w:val="000000"/>
          <w:sz w:val="32"/>
          <w:szCs w:val="32"/>
        </w:rPr>
      </w:pPr>
      <w:r>
        <w:rPr>
          <w:rFonts w:ascii="方正仿宋简体" w:hAnsi="方正仿宋简体"/>
          <w:color w:val="000000"/>
          <w:sz w:val="32"/>
          <w:szCs w:val="32"/>
        </w:rPr>
        <w:t xml:space="preserve"> </w:t>
      </w:r>
    </w:p>
    <w:p w14:paraId="03BF5D6C">
      <w:pPr>
        <w:pStyle w:val="2"/>
        <w:spacing w:before="0" w:after="0" w:line="560" w:lineRule="exact"/>
        <w:jc w:val="center"/>
        <w:rPr>
          <w:rFonts w:ascii="黑体" w:hAnsi="黑体" w:eastAsia="黑体"/>
          <w:b w:val="0"/>
          <w:sz w:val="32"/>
          <w:szCs w:val="32"/>
        </w:rPr>
      </w:pPr>
      <w:r>
        <w:rPr>
          <w:rFonts w:hint="eastAsia" w:ascii="黑体" w:hAnsi="黑体" w:eastAsia="黑体"/>
          <w:b w:val="0"/>
          <w:sz w:val="32"/>
          <w:szCs w:val="32"/>
        </w:rPr>
        <w:t xml:space="preserve">第八章 </w:t>
      </w:r>
      <w:r>
        <w:rPr>
          <w:rFonts w:ascii="黑体" w:hAnsi="黑体" w:eastAsia="黑体"/>
          <w:b w:val="0"/>
          <w:sz w:val="32"/>
          <w:szCs w:val="32"/>
        </w:rPr>
        <w:t xml:space="preserve"> </w:t>
      </w:r>
      <w:r>
        <w:rPr>
          <w:rFonts w:hint="eastAsia" w:ascii="黑体" w:hAnsi="黑体" w:eastAsia="黑体"/>
          <w:b w:val="0"/>
          <w:sz w:val="32"/>
          <w:szCs w:val="32"/>
        </w:rPr>
        <w:t>综合保障</w:t>
      </w:r>
    </w:p>
    <w:p w14:paraId="5F6F97C7">
      <w:pPr>
        <w:rPr>
          <w:rFonts w:hint="eastAsia" w:ascii="宋体" w:hAnsi="宋体"/>
        </w:rPr>
      </w:pPr>
      <w:r>
        <w:rPr>
          <w:rFonts w:hint="eastAsia" w:ascii="宋体" w:hAnsi="宋体"/>
        </w:rPr>
        <w:t xml:space="preserve"> </w:t>
      </w:r>
    </w:p>
    <w:p w14:paraId="571E9930">
      <w:pPr>
        <w:spacing w:line="560" w:lineRule="exact"/>
        <w:ind w:firstLine="640" w:firstLineChars="200"/>
        <w:rPr>
          <w:rFonts w:hint="eastAsia" w:ascii="仿宋_GB2312" w:hAnsi="仿宋_GB2312"/>
          <w:sz w:val="32"/>
          <w:szCs w:val="32"/>
        </w:rPr>
      </w:pPr>
      <w:r>
        <w:rPr>
          <w:rFonts w:ascii="仿宋_GB2312" w:hAnsi="仿宋_GB2312"/>
          <w:sz w:val="32"/>
          <w:szCs w:val="32"/>
        </w:rPr>
        <w:t>“十四五”时期人力资源和社会保障事业改革发展任务艰巨繁重，需要强化保障措施，汇聚强大合力，努力实现规划确定的各项目标任务。</w:t>
      </w:r>
    </w:p>
    <w:p w14:paraId="4BE7B5DB">
      <w:pPr>
        <w:pStyle w:val="3"/>
        <w:rPr>
          <w:rFonts w:ascii="楷体_GB2312"/>
          <w:b/>
        </w:rPr>
      </w:pPr>
      <w:r>
        <w:rPr>
          <w:rFonts w:hint="eastAsia" w:ascii="楷体_GB2312" w:hAnsi="楷体_GB2312"/>
          <w:b/>
        </w:rPr>
        <w:t xml:space="preserve">第一节 </w:t>
      </w:r>
      <w:r>
        <w:rPr>
          <w:rFonts w:ascii="楷体_GB2312" w:hAnsi="楷体_GB2312"/>
          <w:b/>
        </w:rPr>
        <w:t xml:space="preserve"> 加强组织领导</w:t>
      </w:r>
    </w:p>
    <w:p w14:paraId="13387039">
      <w:pPr>
        <w:spacing w:line="560" w:lineRule="exact"/>
        <w:ind w:firstLine="640" w:firstLineChars="200"/>
        <w:rPr>
          <w:rFonts w:ascii="仿宋_GB2312" w:hAnsi="仿宋_GB2312"/>
        </w:rPr>
      </w:pPr>
      <w:r>
        <w:rPr>
          <w:rFonts w:ascii="仿宋_GB2312" w:hAnsi="仿宋_GB2312"/>
          <w:sz w:val="32"/>
          <w:szCs w:val="32"/>
        </w:rPr>
        <w:t>市人力资源和社会保障局负责本规划实施的统筹协调和宏观指导，对各项任务目标通过年度计划予以分解布置，及时研究解决规划实施过程中出现的重大问题。各旗县区人民政府要依据本规划，制定实施本地区人力资源和社会保障事业发展规划，加强对人力资源和社会保障事业发展的支持，统筹协调相关部门形成合力。</w:t>
      </w:r>
    </w:p>
    <w:p w14:paraId="7735F021">
      <w:pPr>
        <w:pStyle w:val="3"/>
        <w:rPr>
          <w:rFonts w:ascii="楷体_GB2312"/>
          <w:b/>
        </w:rPr>
      </w:pPr>
      <w:r>
        <w:rPr>
          <w:rFonts w:hint="eastAsia" w:ascii="楷体_GB2312" w:hAnsi="楷体_GB2312"/>
          <w:b/>
        </w:rPr>
        <w:t xml:space="preserve">第二节 </w:t>
      </w:r>
      <w:r>
        <w:rPr>
          <w:rFonts w:ascii="楷体_GB2312" w:hAnsi="楷体_GB2312"/>
          <w:b/>
        </w:rPr>
        <w:t xml:space="preserve"> 坚持科学决策、依法行政</w:t>
      </w:r>
    </w:p>
    <w:p w14:paraId="6B4A0F62">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健全依法科学决策程序，明确重大决策事项范围，科学设置公众参与、专家论证、风险评估、集体讨论程序。健全人力资源和社会保障重大决策合法性审查机制，确保决策合法、正当。贯彻落实国家、自治区关于就业创业、社会保障、人事人才、收入分配、劳动关系等法律规章、政策措施，坚持依法依规开展各项工作。依法妥善处理行政争议，规范行政诉讼行为，不断提升依法行政水平。</w:t>
      </w:r>
    </w:p>
    <w:p w14:paraId="133D03F0">
      <w:pPr>
        <w:pStyle w:val="3"/>
        <w:rPr>
          <w:rFonts w:ascii="楷体_GB2312"/>
          <w:b/>
        </w:rPr>
      </w:pPr>
      <w:r>
        <w:rPr>
          <w:rFonts w:hint="eastAsia" w:ascii="楷体_GB2312" w:hAnsi="楷体_GB2312"/>
          <w:b/>
        </w:rPr>
        <w:t xml:space="preserve">第三节 </w:t>
      </w:r>
      <w:r>
        <w:rPr>
          <w:rFonts w:ascii="楷体_GB2312" w:hAnsi="楷体_GB2312"/>
          <w:b/>
        </w:rPr>
        <w:t xml:space="preserve"> 保障财政投入、强化协调推进</w:t>
      </w:r>
    </w:p>
    <w:p w14:paraId="26CCBFDE">
      <w:pPr>
        <w:spacing w:line="560" w:lineRule="exact"/>
        <w:ind w:firstLine="640" w:firstLineChars="200"/>
        <w:rPr>
          <w:rFonts w:ascii="仿宋_GB2312" w:hAnsi="仿宋_GB2312"/>
          <w:sz w:val="32"/>
          <w:szCs w:val="32"/>
        </w:rPr>
      </w:pPr>
      <w:r>
        <w:rPr>
          <w:rFonts w:ascii="仿宋_GB2312" w:hAnsi="仿宋_GB2312"/>
          <w:sz w:val="32"/>
          <w:szCs w:val="32"/>
        </w:rPr>
        <w:t>强化人力资源和社会保障事业发展规划与中长期财政规划实施的匹配衔接，推动建立与全市人力资源和社会保障事业发展相适应、与全市经济社会发展水平相适应的财政投入稳定增长机制。各旗县区人民政府要加大对人力资源社会保障事业的经费投入，加大对人力资源社会保障重点项目的投入力度。</w:t>
      </w:r>
    </w:p>
    <w:p w14:paraId="17E96B89">
      <w:pPr>
        <w:spacing w:line="560" w:lineRule="exact"/>
        <w:ind w:firstLine="640" w:firstLineChars="200"/>
        <w:rPr>
          <w:rFonts w:ascii="仿宋_GB2312" w:hAnsi="仿宋_GB2312"/>
          <w:sz w:val="32"/>
          <w:szCs w:val="32"/>
        </w:rPr>
      </w:pPr>
      <w:r>
        <w:rPr>
          <w:rFonts w:ascii="仿宋_GB2312" w:hAnsi="仿宋_GB2312"/>
          <w:sz w:val="32"/>
          <w:szCs w:val="32"/>
        </w:rPr>
        <w:t>规划实施过程中，要以始终贯彻《赤峰市国民经济和社会发展第十四个五年规划纲要》和《内蒙古自治区人力资源和社会保障事业发展“十四五”规划》为主线，既注重匹配全区人力资源和社会保障事业发展的节奏，又与全市空间规划、区域规划及人才发展、医疗保障、卫生、民生等专项规划相互衔接，实现我市人力资源和社会保障事业服务大局。</w:t>
      </w:r>
    </w:p>
    <w:p w14:paraId="70CF2FF9">
      <w:pPr>
        <w:pStyle w:val="3"/>
        <w:rPr>
          <w:rFonts w:ascii="楷体_GB2312"/>
          <w:b/>
        </w:rPr>
      </w:pPr>
      <w:r>
        <w:rPr>
          <w:rFonts w:hint="eastAsia" w:ascii="楷体_GB2312" w:hAnsi="楷体_GB2312"/>
          <w:b/>
        </w:rPr>
        <w:t xml:space="preserve">第四节 </w:t>
      </w:r>
      <w:r>
        <w:rPr>
          <w:rFonts w:ascii="楷体_GB2312" w:hAnsi="楷体_GB2312"/>
          <w:b/>
        </w:rPr>
        <w:t xml:space="preserve"> 打造高素质干部队伍</w:t>
      </w:r>
    </w:p>
    <w:p w14:paraId="57704F0E">
      <w:pPr>
        <w:spacing w:line="560" w:lineRule="exact"/>
        <w:ind w:firstLine="640" w:firstLineChars="200"/>
        <w:rPr>
          <w:rFonts w:ascii="仿宋_GB2312" w:hAnsi="仿宋_GB2312"/>
          <w:color w:val="000000"/>
          <w:sz w:val="32"/>
          <w:szCs w:val="32"/>
        </w:rPr>
      </w:pPr>
      <w:r>
        <w:rPr>
          <w:rFonts w:ascii="仿宋_GB2312" w:hAnsi="仿宋_GB2312"/>
          <w:color w:val="000000"/>
          <w:sz w:val="32"/>
          <w:szCs w:val="32"/>
        </w:rPr>
        <w:t>突出政治标准导向，持续强化作风建设。坚持以实事识人，以实事辩才，进一步强化全系统干部谋事有想法、做事有章法、干事有激情的担当意识，努力在服务和保障民生上尽全力、勇争先、创佳绩。打造具备遵章守制规矩意识的干部队伍。充实人力资源和社会保障队伍，培育优秀年轻干部，提升专业化水平，逐步形成中青年结合、专业结构合理的干部梯队。</w:t>
      </w:r>
    </w:p>
    <w:p w14:paraId="0A959FA2">
      <w:pPr>
        <w:pStyle w:val="3"/>
        <w:rPr>
          <w:rFonts w:ascii="楷体_GB2312"/>
          <w:b/>
        </w:rPr>
      </w:pPr>
      <w:r>
        <w:rPr>
          <w:rFonts w:hint="eastAsia" w:ascii="楷体_GB2312" w:hAnsi="楷体_GB2312"/>
          <w:b/>
        </w:rPr>
        <w:t xml:space="preserve">第五节 </w:t>
      </w:r>
      <w:r>
        <w:rPr>
          <w:rFonts w:ascii="楷体_GB2312" w:hAnsi="楷体_GB2312"/>
          <w:b/>
        </w:rPr>
        <w:t xml:space="preserve"> 强化统计评估</w:t>
      </w:r>
    </w:p>
    <w:p w14:paraId="2919D1A2">
      <w:pPr>
        <w:spacing w:line="560" w:lineRule="exact"/>
        <w:ind w:firstLine="640" w:firstLineChars="200"/>
        <w:rPr>
          <w:rFonts w:ascii="仿宋_GB2312" w:hAnsi="仿宋_GB2312"/>
          <w:sz w:val="32"/>
          <w:szCs w:val="32"/>
        </w:rPr>
      </w:pPr>
      <w:r>
        <w:rPr>
          <w:rFonts w:ascii="仿宋_GB2312" w:hAnsi="仿宋_GB2312"/>
          <w:sz w:val="32"/>
          <w:szCs w:val="32"/>
        </w:rPr>
        <w:t>深入开展人力资源社会保障统计数据解读分析，及时准确反映人力资源社会保障事业发展中出现的新情况、新问题，为科学决策提供扎实可靠的统计信息。创新统计调查方式方法，充分利用大数据等信息化手段，提高人力资源社会保障统计调查效率，提升人力资源社会保障公共服务精准化水平。强化对规划实施情况的监测、评估和考核，适时开展年度评估、中期评估和总结评估，客观真实反映规划实施情况，确保优质高效开展规划实施。</w:t>
      </w:r>
    </w:p>
    <w:p w14:paraId="5E8C0E23">
      <w:pPr>
        <w:pStyle w:val="3"/>
        <w:rPr>
          <w:rFonts w:ascii="楷体_GB2312"/>
          <w:b/>
        </w:rPr>
      </w:pPr>
      <w:r>
        <w:rPr>
          <w:rFonts w:hint="eastAsia" w:ascii="楷体_GB2312" w:hAnsi="楷体_GB2312"/>
          <w:b/>
        </w:rPr>
        <w:t xml:space="preserve">第六节 </w:t>
      </w:r>
      <w:r>
        <w:rPr>
          <w:rFonts w:ascii="楷体_GB2312" w:hAnsi="楷体_GB2312"/>
          <w:b/>
        </w:rPr>
        <w:t xml:space="preserve"> 加强宣传工作</w:t>
      </w:r>
    </w:p>
    <w:p w14:paraId="3E075032">
      <w:pPr>
        <w:spacing w:line="560" w:lineRule="exact"/>
        <w:ind w:firstLine="640" w:firstLineChars="200"/>
        <w:rPr>
          <w:rFonts w:ascii="仿宋_GB2312" w:hAnsi="仿宋_GB2312"/>
          <w:sz w:val="32"/>
          <w:szCs w:val="32"/>
        </w:rPr>
      </w:pPr>
      <w:r>
        <w:rPr>
          <w:rFonts w:ascii="仿宋_GB2312" w:hAnsi="仿宋_GB2312"/>
          <w:sz w:val="32"/>
          <w:szCs w:val="32"/>
        </w:rPr>
        <w:t>全市人力资源和社会保障部门要高度重视宣传工作，将做好宣传工作作为彰显“人社服务为人民”宗旨的重要方式，作为赢得群众口碑、凝聚社会支持的重要途径，为推动全市人力资源和社会保障事业发展凝聚强大精神动力。健全责任清晰、系统协调的宣传工作制度，构建大宣传集中统一、小宣传多点开花的宣传工作格局，全面提升人力资源和社会保障宣传工作水平。多渠道加强人力资源和社会保障政策宣传解读，切实打通政策落地“最后一公里”。全方位展示工作成果，多角度、多层次呈现就业创业、社会保障、人才人事、劳动关系、行风建设等方面的工作成效，彰显“赤峰人社”品牌效应。构建多声部宣传矩阵，打造融合传统媒体和新媒体的全媒体宣传平台，创作多种形式、群众喜闻乐见的媒体作品，让人力资源和社会保障工作更接地气、深入人心。严格落实意识形态工作责任制，密切关注舆论动向，及时化解舆论风险，筑牢意识形态工作防线，牢牢掌握人力资源和社会保障领域意识形态领导权和主动权。</w:t>
      </w:r>
    </w:p>
    <w:p w14:paraId="399C7531">
      <w:pPr>
        <w:spacing w:line="560" w:lineRule="exact"/>
      </w:pPr>
      <w:r>
        <w:t xml:space="preserve"> </w:t>
      </w:r>
    </w:p>
    <w:p w14:paraId="4248A946">
      <w:pPr>
        <w:adjustRightInd w:val="0"/>
        <w:snapToGrid w:val="0"/>
        <w:spacing w:line="580" w:lineRule="exact"/>
        <w:ind w:firstLine="640" w:firstLineChars="200"/>
        <w:rPr>
          <w:rFonts w:ascii="仿宋_GB2312" w:hAnsi="仿宋_GB2312"/>
          <w:sz w:val="32"/>
          <w:szCs w:val="32"/>
        </w:rPr>
      </w:pPr>
      <w:r>
        <w:rPr>
          <w:rFonts w:ascii="仿宋_GB2312" w:hAnsi="仿宋_GB2312"/>
          <w:sz w:val="32"/>
          <w:szCs w:val="32"/>
        </w:rPr>
        <w:t xml:space="preserve"> </w:t>
      </w:r>
    </w:p>
    <w:bookmarkEnd w:id="0"/>
    <w:p w14:paraId="4EC2E17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方正仿宋简体">
    <w:altName w:val="微软雅黑"/>
    <w:panose1 w:val="00000000000000000000"/>
    <w:charset w:val="00"/>
    <w:family w:val="auto"/>
    <w:pitch w:val="default"/>
    <w:sig w:usb0="00000000" w:usb1="00000000" w:usb2="00000000" w:usb3="00000000" w:csb0="00000000" w:csb1="00000000"/>
  </w:font>
  <w:font w:name="KSOFBBF09B1B">
    <w:panose1 w:val="020B0503020204020204"/>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025BBAAE">
    <w:panose1 w:val="020B0503020204020204"/>
    <w:charset w:val="86"/>
    <w:family w:val="auto"/>
    <w:pitch w:val="default"/>
    <w:sig w:usb0="00000001" w:usb1="00000000" w:usb2="00000000" w:usb3="00000000" w:csb0="00040001" w:csb1="00000000"/>
  </w:font>
  <w:font w:name="KSOFBDA573BA">
    <w:panose1 w:val="020B07030202040202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233"/>
    <w:rsid w:val="00350928"/>
    <w:rsid w:val="003F5A16"/>
    <w:rsid w:val="00467233"/>
    <w:rsid w:val="006E0003"/>
    <w:rsid w:val="00934031"/>
    <w:rsid w:val="00C454EB"/>
    <w:rsid w:val="00C532A6"/>
    <w:rsid w:val="00E8059E"/>
    <w:rsid w:val="00EB0068"/>
    <w:rsid w:val="00F75AA7"/>
    <w:rsid w:val="2CC32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7"/>
    <w:qFormat/>
    <w:uiPriority w:val="99"/>
    <w:pPr>
      <w:keepNext/>
      <w:keepLines/>
      <w:spacing w:before="340" w:after="330" w:line="576" w:lineRule="auto"/>
      <w:outlineLvl w:val="0"/>
    </w:pPr>
    <w:rPr>
      <w:rFonts w:cs="宋体"/>
      <w:b/>
      <w:bCs/>
      <w:kern w:val="44"/>
      <w:sz w:val="44"/>
      <w:szCs w:val="44"/>
    </w:rPr>
  </w:style>
  <w:style w:type="paragraph" w:styleId="3">
    <w:name w:val="heading 2"/>
    <w:basedOn w:val="1"/>
    <w:next w:val="1"/>
    <w:link w:val="8"/>
    <w:qFormat/>
    <w:uiPriority w:val="99"/>
    <w:pPr>
      <w:keepNext/>
      <w:keepLines/>
      <w:spacing w:line="560" w:lineRule="exact"/>
      <w:jc w:val="center"/>
      <w:outlineLvl w:val="1"/>
    </w:pPr>
    <w:rPr>
      <w:rFonts w:ascii="黑体" w:hAnsi="黑体" w:eastAsia="黑体" w:cs="宋体"/>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9"/>
    <w:semiHidden/>
    <w:unhideWhenUsed/>
    <w:qFormat/>
    <w:uiPriority w:val="99"/>
    <w:pPr>
      <w:spacing w:before="100" w:beforeAutospacing="1" w:after="120"/>
    </w:pPr>
  </w:style>
  <w:style w:type="character" w:customStyle="1" w:styleId="7">
    <w:name w:val="标题 1 字符"/>
    <w:basedOn w:val="6"/>
    <w:link w:val="2"/>
    <w:qFormat/>
    <w:uiPriority w:val="99"/>
    <w:rPr>
      <w:rFonts w:ascii="Calibri" w:hAnsi="Calibri" w:eastAsia="宋体" w:cs="宋体"/>
      <w:b/>
      <w:bCs/>
      <w:kern w:val="44"/>
      <w:sz w:val="44"/>
      <w:szCs w:val="44"/>
    </w:rPr>
  </w:style>
  <w:style w:type="character" w:customStyle="1" w:styleId="8">
    <w:name w:val="标题 2 字符"/>
    <w:basedOn w:val="6"/>
    <w:link w:val="3"/>
    <w:qFormat/>
    <w:uiPriority w:val="99"/>
    <w:rPr>
      <w:rFonts w:ascii="黑体" w:hAnsi="黑体" w:eastAsia="黑体" w:cs="宋体"/>
      <w:bCs/>
      <w:sz w:val="32"/>
      <w:szCs w:val="32"/>
    </w:rPr>
  </w:style>
  <w:style w:type="character" w:customStyle="1" w:styleId="9">
    <w:name w:val="正文文本 字符"/>
    <w:basedOn w:val="6"/>
    <w:link w:val="4"/>
    <w:semiHidden/>
    <w:qFormat/>
    <w:uiPriority w:val="99"/>
    <w:rPr>
      <w:rFonts w:ascii="Calibri" w:hAnsi="Calibri" w:eastAsia="宋体" w:cs="Calibri"/>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36</Pages>
  <Words>17919</Words>
  <Characters>18392</Characters>
  <Lines>136</Lines>
  <Paragraphs>38</Paragraphs>
  <TotalTime>47</TotalTime>
  <ScaleCrop>false</ScaleCrop>
  <LinksUpToDate>false</LinksUpToDate>
  <CharactersWithSpaces>18737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2022-07-01T00:48:00Z</dcterms:created>
  <dc:creator>演示人</dc:creator>
  <cp:lastModifiedBy>对味</cp:lastModifiedBy>
  <dcterms:modified xsi:type="dcterms:W3CDTF">2026-09-18T07:41:39Z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eyJoZGlkIjoiNzhkZDRkNjRiNmVlYTE4ZmRlMTc2ZTlhNmIwNGE4NjYiLCJ1c2VySWQiOiI2OTM1NjkyMzIifQ==</vt:lpwstr>
  </property>
  <property fmtid="{D5CDD505-2E9C-101B-9397-08002B2CF9AE}" pid="3" name="KSOProductBuildVer">
    <vt:lpwstr>2052-12.1.0.28505</vt:lpwstr>
  </property>
  <property fmtid="{D5CDD505-2E9C-101B-9397-08002B2CF9AE}" pid="4" name="ICV">
    <vt:lpwstr>78E94F8384224C3EA68076FE72ED9318_13</vt:lpwstr>
  </property>
</Properties>
</file>