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黑体" w:hAnsi="黑体" w:eastAsia="黑体" w:cs="方正小标宋简体"/>
          <w:szCs w:val="44"/>
        </w:rPr>
      </w:pPr>
      <w:r>
        <w:rPr>
          <w:rFonts w:hint="eastAsia" w:ascii="黑体" w:hAnsi="黑体" w:eastAsia="黑体" w:cs="方正小标宋简体"/>
          <w:szCs w:val="44"/>
        </w:rPr>
        <w:t>附件1</w:t>
      </w:r>
    </w:p>
    <w:p>
      <w:pPr>
        <w:spacing w:line="560" w:lineRule="exact"/>
        <w:jc w:val="left"/>
        <w:rPr>
          <w:rFonts w:ascii="黑体" w:hAnsi="黑体" w:eastAsia="黑体" w:cs="方正小标宋简体"/>
          <w:szCs w:val="44"/>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赤峰市新建居住区配建养老</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服务设施和无障碍设施工作联席会议制度</w:t>
      </w:r>
    </w:p>
    <w:p>
      <w:pPr>
        <w:ind w:firstLine="640" w:firstLineChars="200"/>
        <w:rPr>
          <w:rFonts w:ascii="仿宋" w:hAnsi="仿宋" w:eastAsia="仿宋"/>
        </w:rPr>
      </w:pPr>
    </w:p>
    <w:p>
      <w:pPr>
        <w:spacing w:line="520" w:lineRule="exact"/>
        <w:ind w:firstLine="640" w:firstLineChars="200"/>
        <w:rPr>
          <w:rFonts w:ascii="仿宋_GB2312" w:hAnsi="仿宋_GB2312" w:cs="仿宋_GB2312"/>
        </w:rPr>
      </w:pPr>
      <w:r>
        <w:rPr>
          <w:rFonts w:hint="eastAsia" w:ascii="仿宋_GB2312" w:hAnsi="仿宋_GB2312" w:cs="仿宋_GB2312"/>
        </w:rPr>
        <w:t>为贯彻落实党中央、国务院和自治区党委政府决策部署，按照国家及自治区有关新建居住区配建养老服务设施和无障碍设施工作要求，经市政府同意，建立赤峰市新建居住区配建养老服务设施和无障碍设施工作联席会议制度。</w:t>
      </w:r>
    </w:p>
    <w:p>
      <w:pPr>
        <w:spacing w:line="520" w:lineRule="exact"/>
        <w:ind w:firstLine="640" w:firstLineChars="200"/>
        <w:jc w:val="left"/>
        <w:rPr>
          <w:rFonts w:ascii="黑体" w:hAnsi="黑体" w:eastAsia="黑体" w:cs="黑体"/>
        </w:rPr>
      </w:pPr>
      <w:r>
        <w:rPr>
          <w:rFonts w:hint="eastAsia" w:ascii="黑体" w:hAnsi="黑体" w:eastAsia="黑体" w:cs="黑体"/>
        </w:rPr>
        <w:t>一、组成人员</w:t>
      </w:r>
    </w:p>
    <w:p>
      <w:pPr>
        <w:spacing w:line="520" w:lineRule="exact"/>
        <w:ind w:firstLine="640" w:firstLineChars="200"/>
      </w:pPr>
      <w:r>
        <w:rPr>
          <w:rFonts w:hint="eastAsia" w:ascii="楷体_GB2312" w:eastAsia="楷体_GB2312"/>
        </w:rPr>
        <w:t>召 集 人：</w:t>
      </w:r>
      <w:r>
        <w:rPr>
          <w:rFonts w:hint="eastAsia"/>
        </w:rPr>
        <w:t>王晨飞         市政府办公室副主任</w:t>
      </w:r>
    </w:p>
    <w:p>
      <w:pPr>
        <w:spacing w:line="520" w:lineRule="exact"/>
        <w:ind w:firstLine="640" w:firstLineChars="200"/>
      </w:pPr>
      <w:r>
        <w:rPr>
          <w:rFonts w:hint="eastAsia" w:ascii="楷体_GB2312" w:eastAsia="楷体_GB2312"/>
        </w:rPr>
        <w:t>副召集人：</w:t>
      </w:r>
      <w:r>
        <w:rPr>
          <w:rFonts w:hint="eastAsia"/>
        </w:rPr>
        <w:t>张子伟         市住房城乡建设局局长</w:t>
      </w:r>
    </w:p>
    <w:p>
      <w:pPr>
        <w:spacing w:line="520" w:lineRule="exact"/>
        <w:ind w:firstLine="2240" w:firstLineChars="700"/>
      </w:pPr>
      <w:r>
        <w:rPr>
          <w:rFonts w:hint="eastAsia"/>
        </w:rPr>
        <w:t>浩毕斯嘎啦图   市民政局局长</w:t>
      </w:r>
    </w:p>
    <w:p>
      <w:pPr>
        <w:spacing w:line="520" w:lineRule="exact"/>
        <w:ind w:firstLine="640" w:firstLineChars="200"/>
      </w:pPr>
      <w:r>
        <w:rPr>
          <w:rFonts w:hint="eastAsia" w:ascii="楷体_GB2312" w:eastAsia="楷体_GB2312"/>
        </w:rPr>
        <w:t>成    员：</w:t>
      </w:r>
      <w:r>
        <w:rPr>
          <w:rFonts w:hint="eastAsia"/>
        </w:rPr>
        <w:t>杨颖丽         市发展改革委副主任</w:t>
      </w:r>
    </w:p>
    <w:p>
      <w:pPr>
        <w:spacing w:line="520" w:lineRule="exact"/>
        <w:ind w:firstLine="2240" w:firstLineChars="700"/>
      </w:pPr>
      <w:r>
        <w:rPr>
          <w:rFonts w:hint="eastAsia"/>
        </w:rPr>
        <w:t>李晓华         市民政局副局长</w:t>
      </w:r>
    </w:p>
    <w:p>
      <w:pPr>
        <w:spacing w:line="520" w:lineRule="exact"/>
        <w:ind w:firstLine="2240" w:firstLineChars="700"/>
      </w:pPr>
      <w:r>
        <w:rPr>
          <w:rFonts w:hint="eastAsia"/>
        </w:rPr>
        <w:t>赵明权         市自然资源局副局长</w:t>
      </w:r>
    </w:p>
    <w:p>
      <w:pPr>
        <w:spacing w:line="520" w:lineRule="exact"/>
        <w:ind w:firstLine="2240" w:firstLineChars="700"/>
      </w:pPr>
      <w:r>
        <w:rPr>
          <w:rFonts w:hint="eastAsia"/>
        </w:rPr>
        <w:t>李明琦         市住房城乡建设局副局长</w:t>
      </w:r>
    </w:p>
    <w:p>
      <w:pPr>
        <w:spacing w:line="520" w:lineRule="exact"/>
        <w:ind w:firstLine="2240" w:firstLineChars="700"/>
      </w:pPr>
      <w:r>
        <w:rPr>
          <w:rFonts w:hint="eastAsia"/>
        </w:rPr>
        <w:t>王术华         市残联副理事长</w:t>
      </w:r>
    </w:p>
    <w:p>
      <w:pPr>
        <w:spacing w:line="520" w:lineRule="exact"/>
        <w:ind w:firstLine="640" w:firstLineChars="200"/>
        <w:rPr>
          <w:rFonts w:ascii="仿宋_GB2312" w:hAnsi="仿宋" w:cs="仿宋_GB2312"/>
          <w:color w:val="000000"/>
        </w:rPr>
      </w:pPr>
      <w:r>
        <w:rPr>
          <w:rFonts w:hint="eastAsia" w:ascii="仿宋_GB2312" w:hAnsi="仿宋" w:cs="仿宋_GB2312"/>
          <w:color w:val="000000"/>
        </w:rPr>
        <w:t>联席会议办公室设在市住房城乡建设局，由建筑节能与科技教育科承担联席会议办公室日常工作。联席会议设联络员，由联席会议各成员单位有关科室负责同志担任。联席会议成员因工作变动需要调整的，由所在单位提出，向联席会议报备。</w:t>
      </w:r>
    </w:p>
    <w:p>
      <w:pPr>
        <w:spacing w:line="520" w:lineRule="exact"/>
        <w:ind w:firstLine="640" w:firstLineChars="200"/>
        <w:rPr>
          <w:rFonts w:ascii="黑体" w:hAnsi="黑体" w:eastAsia="黑体" w:cs="黑体"/>
        </w:rPr>
      </w:pPr>
      <w:r>
        <w:rPr>
          <w:rFonts w:hint="eastAsia" w:ascii="黑体" w:hAnsi="黑体" w:eastAsia="黑体" w:cs="黑体"/>
        </w:rPr>
        <w:t>二、主要职责</w:t>
      </w:r>
    </w:p>
    <w:p>
      <w:pPr>
        <w:spacing w:line="520" w:lineRule="exact"/>
        <w:ind w:firstLine="640" w:firstLineChars="200"/>
        <w:rPr>
          <w:rFonts w:ascii="仿宋_GB2312" w:hAnsi="仿宋" w:cs="仿宋_GB2312"/>
          <w:color w:val="000000"/>
        </w:rPr>
      </w:pPr>
      <w:r>
        <w:rPr>
          <w:rFonts w:hint="eastAsia" w:ascii="仿宋_GB2312" w:hAnsi="仿宋" w:cs="仿宋_GB2312"/>
          <w:color w:val="000000"/>
        </w:rPr>
        <w:t>（一）贯彻落实国家和自治区应对人口老龄化、推进养老服务业发展等相关决策部署，统筹协调全市新建居住区配建养老服务设施和无障碍设施工作。</w:t>
      </w:r>
    </w:p>
    <w:p>
      <w:pPr>
        <w:spacing w:line="520" w:lineRule="exact"/>
        <w:ind w:firstLine="640" w:firstLineChars="200"/>
        <w:rPr>
          <w:rFonts w:ascii="仿宋_GB2312" w:hAnsi="仿宋" w:cs="仿宋_GB2312"/>
          <w:color w:val="000000"/>
        </w:rPr>
      </w:pPr>
      <w:r>
        <w:rPr>
          <w:rFonts w:hint="eastAsia" w:ascii="仿宋_GB2312" w:hAnsi="仿宋" w:cs="仿宋_GB2312"/>
          <w:color w:val="000000"/>
        </w:rPr>
        <w:t>（二）依据《中</w:t>
      </w:r>
      <w:r>
        <w:rPr>
          <w:rFonts w:hint="eastAsia" w:ascii="仿宋_GB2312" w:hAnsi="仿宋" w:cs="仿宋_GB2312"/>
          <w:color w:val="000000"/>
          <w:lang w:val="en-US" w:eastAsia="zh-CN"/>
        </w:rPr>
        <w:t>华</w:t>
      </w:r>
      <w:r>
        <w:rPr>
          <w:rFonts w:hint="eastAsia" w:ascii="仿宋_GB2312" w:hAnsi="仿宋" w:cs="仿宋_GB2312"/>
          <w:color w:val="000000"/>
        </w:rPr>
        <w:t>人民共和国老年人权益保障法》《内蒙古自治区养老服务条例》</w:t>
      </w:r>
      <w:r>
        <w:rPr>
          <w:rFonts w:hint="eastAsia" w:ascii="仿宋_GB2312" w:hAnsi="仿宋" w:cs="仿宋_GB2312"/>
          <w:color w:val="000000"/>
          <w:kern w:val="0"/>
        </w:rPr>
        <w:t>《内蒙古自治区无障碍环境建设办法》</w:t>
      </w:r>
      <w:r>
        <w:rPr>
          <w:rFonts w:hint="eastAsia" w:ascii="仿宋_GB2312" w:hAnsi="仿宋" w:cs="仿宋_GB2312"/>
          <w:color w:val="000000"/>
        </w:rPr>
        <w:t>，对全市新建居住区配建养老服务设施和无障碍设施工作开展监督检查，检查结果适时予以通报。</w:t>
      </w:r>
    </w:p>
    <w:p>
      <w:pPr>
        <w:spacing w:line="520" w:lineRule="exact"/>
        <w:ind w:firstLine="640" w:firstLineChars="200"/>
        <w:rPr>
          <w:rFonts w:ascii="仿宋_GB2312" w:hAnsi="仿宋" w:cs="仿宋_GB2312"/>
          <w:color w:val="000000"/>
          <w:shd w:val="clear" w:color="auto" w:fill="FFFFFF"/>
        </w:rPr>
      </w:pPr>
      <w:r>
        <w:rPr>
          <w:rFonts w:hint="eastAsia" w:ascii="仿宋_GB2312" w:hAnsi="仿宋" w:cs="仿宋_GB2312"/>
          <w:color w:val="000000"/>
          <w:shd w:val="clear" w:color="auto" w:fill="FFFFFF"/>
        </w:rPr>
        <w:t>（三）建立问题清单和</w:t>
      </w:r>
      <w:bookmarkStart w:id="0" w:name="_GoBack"/>
      <w:bookmarkEnd w:id="0"/>
      <w:r>
        <w:rPr>
          <w:rFonts w:hint="eastAsia" w:ascii="仿宋_GB2312" w:hAnsi="仿宋" w:cs="仿宋_GB2312"/>
          <w:color w:val="000000"/>
          <w:shd w:val="clear" w:color="auto" w:fill="FFFFFF"/>
        </w:rPr>
        <w:t>整改台账，坚决督促整治到位。</w:t>
      </w:r>
    </w:p>
    <w:p>
      <w:pPr>
        <w:spacing w:line="520" w:lineRule="exact"/>
        <w:ind w:firstLine="640" w:firstLineChars="200"/>
        <w:rPr>
          <w:rFonts w:ascii="黑体" w:hAnsi="黑体" w:eastAsia="黑体" w:cs="黑体"/>
        </w:rPr>
      </w:pPr>
      <w:r>
        <w:rPr>
          <w:rFonts w:hint="eastAsia" w:ascii="黑体" w:hAnsi="黑体" w:eastAsia="黑体" w:cs="黑体"/>
        </w:rPr>
        <w:t>三、工作规则</w:t>
      </w:r>
    </w:p>
    <w:p>
      <w:pPr>
        <w:spacing w:line="520" w:lineRule="exact"/>
        <w:ind w:firstLine="640" w:firstLineChars="200"/>
        <w:rPr>
          <w:rFonts w:ascii="仿宋_GB2312" w:hAnsi="仿宋" w:cs="仿宋_GB2312"/>
          <w:color w:val="000000"/>
          <w:kern w:val="0"/>
        </w:rPr>
      </w:pPr>
      <w:r>
        <w:rPr>
          <w:rFonts w:hint="eastAsia" w:ascii="仿宋_GB2312" w:hAnsi="仿宋" w:cs="仿宋_GB2312"/>
          <w:color w:val="000000"/>
          <w:kern w:val="0"/>
        </w:rPr>
        <w:t>（一）联席会议根据工作需要召开会议，一般由召集人或召集人委托副召集人主持。成员单位可以提出召开联席会议的建议，与联席会议室办公室研究确定相关议题和事项，适时召开。</w:t>
      </w:r>
    </w:p>
    <w:p>
      <w:pPr>
        <w:spacing w:line="520" w:lineRule="exact"/>
        <w:ind w:firstLine="640" w:firstLineChars="200"/>
        <w:rPr>
          <w:rFonts w:ascii="仿宋_GB2312" w:hAnsi="仿宋" w:cs="仿宋_GB2312"/>
          <w:color w:val="000000"/>
          <w:kern w:val="0"/>
        </w:rPr>
      </w:pPr>
      <w:r>
        <w:rPr>
          <w:rFonts w:hint="eastAsia" w:ascii="仿宋_GB2312" w:hAnsi="仿宋" w:cs="仿宋_GB2312"/>
          <w:color w:val="000000"/>
          <w:kern w:val="0"/>
        </w:rPr>
        <w:t>（二）联席会议召开会议，可根据具体会议内容召集全体或部分成员参加，也可邀请其他非成员单位或专家参会。</w:t>
      </w:r>
    </w:p>
    <w:p>
      <w:pPr>
        <w:spacing w:line="520" w:lineRule="exact"/>
        <w:ind w:firstLine="640" w:firstLineChars="200"/>
        <w:rPr>
          <w:rFonts w:ascii="仿宋_GB2312" w:hAnsi="仿宋" w:cs="仿宋_GB2312"/>
          <w:color w:val="000000"/>
          <w:kern w:val="0"/>
        </w:rPr>
      </w:pPr>
      <w:r>
        <w:rPr>
          <w:rFonts w:hint="eastAsia" w:ascii="仿宋_GB2312" w:hAnsi="仿宋" w:cs="仿宋_GB2312"/>
          <w:color w:val="000000"/>
          <w:kern w:val="0"/>
        </w:rPr>
        <w:t>（三）联席会议议定的事项，要以会议纪要形式予以明确，印发各部门和相关单位落实。</w:t>
      </w:r>
    </w:p>
    <w:p>
      <w:pPr>
        <w:spacing w:line="520" w:lineRule="exact"/>
        <w:ind w:firstLine="640" w:firstLineChars="200"/>
        <w:rPr>
          <w:rFonts w:ascii="黑体" w:hAnsi="黑体" w:eastAsia="黑体" w:cs="黑体"/>
        </w:rPr>
      </w:pPr>
      <w:r>
        <w:rPr>
          <w:rFonts w:hint="eastAsia" w:ascii="黑体" w:hAnsi="黑体" w:eastAsia="黑体" w:cs="黑体"/>
        </w:rPr>
        <w:t>四、工作要求</w:t>
      </w:r>
    </w:p>
    <w:p>
      <w:pPr>
        <w:spacing w:line="520" w:lineRule="exact"/>
        <w:ind w:firstLine="640" w:firstLineChars="200"/>
        <w:rPr>
          <w:rFonts w:ascii="仿宋_GB2312" w:hAnsi="仿宋" w:cs="仿宋_GB2312"/>
          <w:color w:val="000000"/>
          <w:kern w:val="0"/>
        </w:rPr>
      </w:pPr>
      <w:r>
        <w:rPr>
          <w:rFonts w:hint="eastAsia" w:ascii="仿宋_GB2312" w:hAnsi="仿宋" w:cs="仿宋_GB2312"/>
          <w:color w:val="000000"/>
          <w:kern w:val="0"/>
        </w:rPr>
        <w:t>（一）各成员单位应按要求参加联席会议的各项活动，不得无故缺席。</w:t>
      </w:r>
    </w:p>
    <w:p>
      <w:pPr>
        <w:spacing w:line="520" w:lineRule="exact"/>
        <w:ind w:firstLine="640" w:firstLineChars="200"/>
        <w:rPr>
          <w:rFonts w:ascii="仿宋_GB2312" w:hAnsi="仿宋" w:cs="仿宋_GB2312"/>
          <w:color w:val="000000"/>
          <w:kern w:val="0"/>
        </w:rPr>
      </w:pPr>
      <w:r>
        <w:rPr>
          <w:rFonts w:hint="eastAsia" w:ascii="仿宋_GB2312" w:hAnsi="仿宋" w:cs="仿宋_GB2312"/>
          <w:color w:val="000000"/>
          <w:kern w:val="0"/>
        </w:rPr>
        <w:t>（二）各成员单位要按照职能职责和工作分工，认真落实联席会议确定的工作任务和议定事项，主动推动解决存在的问题，研究提出落实国家和自治区工作要求的计划、思路、举措等。</w:t>
      </w:r>
    </w:p>
    <w:p>
      <w:pPr>
        <w:spacing w:line="520" w:lineRule="exact"/>
        <w:ind w:firstLine="640" w:firstLineChars="200"/>
        <w:rPr>
          <w:rFonts w:ascii="仿宋_GB2312" w:hAnsi="仿宋" w:cs="仿宋_GB2312"/>
          <w:color w:val="000000"/>
          <w:kern w:val="0"/>
        </w:rPr>
      </w:pPr>
      <w:r>
        <w:rPr>
          <w:rFonts w:hint="eastAsia" w:ascii="仿宋_GB2312" w:hAnsi="仿宋" w:cs="仿宋_GB2312"/>
          <w:color w:val="000000"/>
          <w:kern w:val="0"/>
        </w:rPr>
        <w:t>（三）各成员单位要加强协调配合，形成工作合力，确保部门之间工作有序衔接。</w:t>
      </w:r>
    </w:p>
    <w:p>
      <w:pPr>
        <w:spacing w:line="520" w:lineRule="exact"/>
        <w:ind w:firstLine="640" w:firstLineChars="200"/>
        <w:rPr>
          <w:rFonts w:ascii="仿宋_GB2312" w:hAnsi="仿宋" w:cs="仿宋_GB2312"/>
          <w:color w:val="000000"/>
          <w:kern w:val="0"/>
        </w:rPr>
      </w:pPr>
      <w:r>
        <w:rPr>
          <w:rFonts w:hint="eastAsia" w:ascii="仿宋_GB2312" w:hAnsi="仿宋" w:cs="仿宋_GB2312"/>
          <w:color w:val="000000"/>
          <w:kern w:val="0"/>
        </w:rPr>
        <w:t>（四）联席会议办公室要及时向各成员单位通报有关情况，并加强对会议议定事项的督促落实。</w:t>
      </w:r>
    </w:p>
    <w:sectPr>
      <w:footerReference r:id="rId3" w:type="default"/>
      <w:footerReference r:id="rId4" w:type="even"/>
      <w:pgSz w:w="11906" w:h="16838"/>
      <w:pgMar w:top="1440" w:right="1797" w:bottom="1440" w:left="1797" w:header="851" w:footer="992" w:gutter="0"/>
      <w:pgNumType w:fmt="numberInDash" w:start="4"/>
      <w:cols w:space="720" w:num="1"/>
      <w:docGrid w:type="lines" w:linePitch="48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0715853"/>
      <w:docPartObj>
        <w:docPartGallery w:val="AutoText"/>
      </w:docPartObj>
    </w:sdtPr>
    <w:sdtEndPr>
      <w:rPr>
        <w:rFonts w:asciiTheme="minorEastAsia" w:hAnsiTheme="minorEastAsia"/>
        <w:sz w:val="28"/>
      </w:rPr>
    </w:sdtEndPr>
    <w:sdtContent>
      <w:p>
        <w:pPr>
          <w:pStyle w:val="2"/>
          <w:jc w:val="right"/>
          <w:rPr>
            <w:rFonts w:asciiTheme="minorEastAsia" w:hAnsiTheme="minorEastAsia"/>
            <w:sz w:val="28"/>
          </w:rPr>
        </w:pPr>
        <w:r>
          <w:rPr>
            <w:rFonts w:asciiTheme="minorEastAsia" w:hAnsiTheme="minorEastAsia"/>
            <w:sz w:val="28"/>
          </w:rPr>
          <w:fldChar w:fldCharType="begin"/>
        </w:r>
        <w:r>
          <w:rPr>
            <w:rFonts w:asciiTheme="minorEastAsia" w:hAnsiTheme="minorEastAsia"/>
            <w:sz w:val="28"/>
          </w:rPr>
          <w:instrText xml:space="preserve">PAGE   \* MERGEFORMAT</w:instrText>
        </w:r>
        <w:r>
          <w:rPr>
            <w:rFonts w:asciiTheme="minorEastAsia" w:hAnsiTheme="minorEastAsia"/>
            <w:sz w:val="28"/>
          </w:rPr>
          <w:fldChar w:fldCharType="separate"/>
        </w:r>
        <w:r>
          <w:rPr>
            <w:rFonts w:asciiTheme="minorEastAsia" w:hAnsiTheme="minorEastAsia"/>
            <w:sz w:val="28"/>
            <w:lang w:val="zh-CN"/>
          </w:rPr>
          <w:t>-</w:t>
        </w:r>
        <w:r>
          <w:rPr>
            <w:rFonts w:asciiTheme="minorEastAsia" w:hAnsiTheme="minorEastAsia"/>
            <w:sz w:val="28"/>
          </w:rPr>
          <w:t xml:space="preserve"> 5 -</w:t>
        </w:r>
        <w:r>
          <w:rPr>
            <w:rFonts w:asciiTheme="minorEastAsia" w:hAnsiTheme="minorEastAsia"/>
            <w:sz w:val="28"/>
          </w:rPr>
          <w:fldChar w:fldCharType="end"/>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1428145"/>
      <w:docPartObj>
        <w:docPartGallery w:val="AutoText"/>
      </w:docPartObj>
    </w:sdtPr>
    <w:sdtEndPr>
      <w:rPr>
        <w:rFonts w:asciiTheme="minorEastAsia" w:hAnsiTheme="minorEastAsia"/>
        <w:sz w:val="28"/>
      </w:rPr>
    </w:sdtEndPr>
    <w:sdtContent>
      <w:p>
        <w:pPr>
          <w:pStyle w:val="2"/>
          <w:rPr>
            <w:rFonts w:asciiTheme="minorEastAsia" w:hAnsiTheme="minorEastAsia"/>
            <w:sz w:val="28"/>
          </w:rPr>
        </w:pPr>
        <w:r>
          <w:rPr>
            <w:rFonts w:asciiTheme="minorEastAsia" w:hAnsiTheme="minorEastAsia"/>
            <w:sz w:val="28"/>
          </w:rPr>
          <w:fldChar w:fldCharType="begin"/>
        </w:r>
        <w:r>
          <w:rPr>
            <w:rFonts w:asciiTheme="minorEastAsia" w:hAnsiTheme="minorEastAsia"/>
            <w:sz w:val="28"/>
          </w:rPr>
          <w:instrText xml:space="preserve">PAGE   \* MERGEFORMAT</w:instrText>
        </w:r>
        <w:r>
          <w:rPr>
            <w:rFonts w:asciiTheme="minorEastAsia" w:hAnsiTheme="minorEastAsia"/>
            <w:sz w:val="28"/>
          </w:rPr>
          <w:fldChar w:fldCharType="separate"/>
        </w:r>
        <w:r>
          <w:rPr>
            <w:rFonts w:asciiTheme="minorEastAsia" w:hAnsiTheme="minorEastAsia"/>
            <w:sz w:val="28"/>
            <w:lang w:val="zh-CN"/>
          </w:rPr>
          <w:t>-</w:t>
        </w:r>
        <w:r>
          <w:rPr>
            <w:rFonts w:asciiTheme="minorEastAsia" w:hAnsiTheme="minorEastAsia"/>
            <w:sz w:val="28"/>
          </w:rPr>
          <w:t xml:space="preserve"> 4 -</w:t>
        </w:r>
        <w:r>
          <w:rPr>
            <w:rFonts w:asciiTheme="minorEastAsia" w:hAnsiTheme="minorEastAsia"/>
            <w:sz w:val="28"/>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60"/>
  <w:drawingGridVerticalSpacing w:val="24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4OTNiNmE5ZWU4YTMxOGZmYzcwOWI3YjNkY2MxMzEifQ=="/>
  </w:docVars>
  <w:rsids>
    <w:rsidRoot w:val="0026591C"/>
    <w:rsid w:val="0003423C"/>
    <w:rsid w:val="00116877"/>
    <w:rsid w:val="0026591C"/>
    <w:rsid w:val="00767FE5"/>
    <w:rsid w:val="008706B8"/>
    <w:rsid w:val="00B42DD9"/>
    <w:rsid w:val="00C04276"/>
    <w:rsid w:val="00F76570"/>
    <w:rsid w:val="17181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151</Words>
  <Characters>865</Characters>
  <Lines>7</Lines>
  <Paragraphs>2</Paragraphs>
  <TotalTime>8</TotalTime>
  <ScaleCrop>false</ScaleCrop>
  <LinksUpToDate>false</LinksUpToDate>
  <CharactersWithSpaces>1014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2022-06-21T07:52:00Z</dcterms:created>
  <dc:creator>李光普(李光普:转核稿)</dc:creator>
  <cp:lastModifiedBy>梦魇</cp:lastModifiedBy>
  <dcterms:modified xsi:type="dcterms:W3CDTF">2022-07-18T08:23:59Z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42A0E8DD12764441A8783CB58972966C</vt:lpwstr>
  </property>
</Properties>
</file>