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pPr>
      <w:bookmarkStart w:id="1" w:name="_GoBack"/>
      <w:r>
        <w:drawing>
          <wp:anchor distT="0" distB="0" distL="114300" distR="114300" simplePos="0" relativeHeight="251659264" behindDoc="1" locked="0" layoutInCell="1" allowOverlap="1">
            <wp:simplePos x="0" y="0"/>
            <wp:positionH relativeFrom="column">
              <wp:posOffset>10795</wp:posOffset>
            </wp:positionH>
            <wp:positionV relativeFrom="paragraph">
              <wp:posOffset>46990</wp:posOffset>
            </wp:positionV>
            <wp:extent cx="5267325" cy="9163050"/>
            <wp:effectExtent l="0" t="0" r="5715" b="11430"/>
            <wp:wrapNone/>
            <wp:docPr id="2" name="图片 2" descr="政府办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政府办字"/>
                    <pic:cNvPicPr>
                      <a:picLocks noChangeAspect="1"/>
                    </pic:cNvPicPr>
                  </pic:nvPicPr>
                  <pic:blipFill>
                    <a:blip r:embed="rId9"/>
                    <a:stretch>
                      <a:fillRect/>
                    </a:stretch>
                  </pic:blipFill>
                  <pic:spPr>
                    <a:xfrm>
                      <a:off x="0" y="0"/>
                      <a:ext cx="5267325" cy="9163050"/>
                    </a:xfrm>
                    <a:prstGeom prst="rect">
                      <a:avLst/>
                    </a:prstGeom>
                    <a:noFill/>
                    <a:ln>
                      <a:noFill/>
                    </a:ln>
                  </pic:spPr>
                </pic:pic>
              </a:graphicData>
            </a:graphic>
          </wp:anchor>
        </w:drawing>
      </w:r>
      <w:bookmarkEnd w:id="1"/>
    </w:p>
    <w:p>
      <w:pPr>
        <w:rPr>
          <w:rFonts w:hint="eastAsia"/>
          <w:sz w:val="24"/>
          <w:szCs w:val="24"/>
        </w:rPr>
      </w:pPr>
    </w:p>
    <w:p>
      <w:pPr>
        <w:rPr>
          <w:rFonts w:ascii="仿宋" w:hAnsi="仿宋" w:eastAsia="仿宋"/>
          <w:sz w:val="32"/>
          <w:szCs w:val="32"/>
        </w:rPr>
      </w:pPr>
      <w:r>
        <w:rPr>
          <w:rFonts w:hint="eastAsia" w:ascii="宋体" w:hAnsi="宋体"/>
          <w:sz w:val="28"/>
          <w:szCs w:val="28"/>
        </w:rPr>
        <w:t xml:space="preserve">                                            </w:t>
      </w:r>
    </w:p>
    <w:p>
      <w:pPr>
        <w:rPr>
          <w:rFonts w:hint="eastAsia" w:ascii="Times New Roman"/>
          <w:sz w:val="24"/>
          <w:szCs w:val="24"/>
        </w:rPr>
      </w:pPr>
    </w:p>
    <w:p>
      <w:pPr>
        <w:rPr>
          <w:rFonts w:ascii="Times New Roman"/>
          <w:sz w:val="24"/>
          <w:szCs w:val="24"/>
        </w:rPr>
      </w:pPr>
    </w:p>
    <w:p>
      <w:pPr>
        <w:rPr>
          <w:rFonts w:ascii="Times New Roman"/>
          <w:sz w:val="24"/>
          <w:szCs w:val="24"/>
        </w:rPr>
      </w:pPr>
    </w:p>
    <w:p>
      <w:pPr>
        <w:spacing w:line="160" w:lineRule="exact"/>
      </w:pPr>
    </w:p>
    <w:p>
      <w:pPr>
        <w:spacing w:line="560" w:lineRule="exact"/>
        <w:jc w:val="right"/>
        <w:rPr>
          <w:rFonts w:hint="eastAsia" w:ascii="仿宋_GB2312" w:hAnsi="方正小标宋简体" w:eastAsia="仿宋_GB2312" w:cs="方正小标宋简体"/>
          <w:sz w:val="32"/>
          <w:szCs w:val="44"/>
        </w:rPr>
      </w:pPr>
      <w:bookmarkStart w:id="0" w:name="内容"/>
      <w:bookmarkEnd w:id="0"/>
      <w:r>
        <w:rPr>
          <w:rFonts w:hint="eastAsia" w:ascii="仿宋_GB2312" w:hAnsi="方正小标宋简体" w:eastAsia="仿宋_GB2312" w:cs="方正小标宋简体"/>
          <w:sz w:val="32"/>
          <w:szCs w:val="44"/>
        </w:rPr>
        <w:t>赤政办字〔2022〕45号</w:t>
      </w:r>
    </w:p>
    <w:p>
      <w:pPr>
        <w:spacing w:line="560" w:lineRule="exact"/>
        <w:jc w:val="center"/>
        <w:rPr>
          <w:rFonts w:ascii="方正小标宋简体" w:hAnsi="方正小标宋简体" w:eastAsia="方正小标宋简体" w:cs="方正小标宋简体"/>
          <w:sz w:val="44"/>
          <w:szCs w:val="44"/>
        </w:rPr>
      </w:pPr>
    </w:p>
    <w:p>
      <w:pPr>
        <w:spacing w:line="560" w:lineRule="exact"/>
        <w:jc w:val="center"/>
        <w:rPr>
          <w:rFonts w:ascii="方正小标宋简体" w:hAnsi="方正小标宋简体" w:eastAsia="方正小标宋简体" w:cs="方正小标宋简体"/>
          <w:spacing w:val="-8"/>
          <w:sz w:val="44"/>
          <w:szCs w:val="44"/>
        </w:rPr>
      </w:pPr>
      <w:r>
        <w:rPr>
          <w:rFonts w:hint="eastAsia" w:ascii="方正小标宋简体" w:hAnsi="方正小标宋简体" w:eastAsia="方正小标宋简体" w:cs="方正小标宋简体"/>
          <w:spacing w:val="-8"/>
          <w:sz w:val="44"/>
          <w:szCs w:val="44"/>
        </w:rPr>
        <w:t>赤峰市人民政府办公室关于转发</w:t>
      </w:r>
    </w:p>
    <w:p>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pacing w:val="-8"/>
          <w:sz w:val="44"/>
          <w:szCs w:val="44"/>
        </w:rPr>
        <w:t>内蒙古自治区</w:t>
      </w:r>
      <w:r>
        <w:rPr>
          <w:rFonts w:hint="eastAsia" w:ascii="方正小标宋简体" w:hAnsi="方正小标宋简体" w:eastAsia="方正小标宋简体" w:cs="方正小标宋简体"/>
          <w:sz w:val="44"/>
          <w:szCs w:val="44"/>
        </w:rPr>
        <w:t>人民政府办公厅关于加强新建居住区配建养老服务设施和无障碍</w:t>
      </w:r>
    </w:p>
    <w:p>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设施工作的通知</w:t>
      </w:r>
    </w:p>
    <w:p>
      <w:pPr>
        <w:rPr>
          <w:rFonts w:ascii="楷体_GB2312" w:hAnsi="仿宋" w:eastAsia="楷体_GB2312"/>
          <w:kern w:val="0"/>
        </w:rPr>
      </w:pPr>
    </w:p>
    <w:p>
      <w:pPr>
        <w:spacing w:line="560" w:lineRule="exact"/>
        <w:rPr>
          <w:rFonts w:ascii="楷体_GB2312" w:hAnsi="仿宋_GB2312" w:eastAsia="楷体_GB2312" w:cs="仿宋_GB2312"/>
          <w:kern w:val="0"/>
          <w:sz w:val="32"/>
        </w:rPr>
      </w:pPr>
      <w:r>
        <w:rPr>
          <w:rFonts w:hint="eastAsia" w:ascii="楷体_GB2312" w:hAnsi="仿宋_GB2312" w:eastAsia="楷体_GB2312" w:cs="仿宋_GB2312"/>
          <w:kern w:val="0"/>
          <w:sz w:val="32"/>
        </w:rPr>
        <w:t>各旗县区人民政府，市直各委办局：</w:t>
      </w:r>
    </w:p>
    <w:p>
      <w:pPr>
        <w:spacing w:line="560" w:lineRule="exact"/>
        <w:ind w:firstLine="640" w:firstLineChars="200"/>
        <w:rPr>
          <w:rFonts w:ascii="楷体_GB2312" w:hAnsi="仿宋_GB2312" w:eastAsia="楷体_GB2312" w:cs="仿宋_GB2312"/>
          <w:sz w:val="32"/>
        </w:rPr>
      </w:pPr>
      <w:r>
        <w:rPr>
          <w:rFonts w:hint="eastAsia" w:ascii="楷体_GB2312" w:hAnsi="仿宋_GB2312" w:eastAsia="楷体_GB2312" w:cs="仿宋_GB2312"/>
          <w:sz w:val="32"/>
        </w:rPr>
        <w:t>经</w:t>
      </w:r>
      <w:r>
        <w:rPr>
          <w:rFonts w:ascii="楷体_GB2312" w:hAnsi="仿宋_GB2312" w:eastAsia="楷体_GB2312" w:cs="仿宋_GB2312"/>
          <w:sz w:val="32"/>
        </w:rPr>
        <w:t>市政府同意，</w:t>
      </w:r>
      <w:r>
        <w:rPr>
          <w:rFonts w:hint="eastAsia" w:ascii="楷体_GB2312" w:hAnsi="仿宋_GB2312" w:eastAsia="楷体_GB2312" w:cs="仿宋_GB2312"/>
          <w:sz w:val="32"/>
        </w:rPr>
        <w:t>现将《内蒙古自治区人民政府办公厅关于加强新建居住区配建养老服务设施和无障碍设施工作的通知》转发给你们，并结合我市实际提出如下要求，请一并贯彻落实。</w:t>
      </w:r>
    </w:p>
    <w:p>
      <w:pPr>
        <w:spacing w:line="560" w:lineRule="exact"/>
        <w:ind w:firstLine="640" w:firstLineChars="200"/>
        <w:rPr>
          <w:rFonts w:ascii="楷体_GB2312" w:hAnsi="仿宋_GB2312" w:eastAsia="楷体_GB2312" w:cs="仿宋_GB2312"/>
          <w:kern w:val="0"/>
          <w:sz w:val="32"/>
        </w:rPr>
      </w:pPr>
      <w:r>
        <w:rPr>
          <w:rFonts w:hint="eastAsia" w:ascii="楷体_GB2312" w:hAnsi="仿宋_GB2312" w:eastAsia="楷体_GB2312" w:cs="仿宋_GB2312"/>
          <w:sz w:val="32"/>
        </w:rPr>
        <w:t>一、</w:t>
      </w:r>
      <w:r>
        <w:rPr>
          <w:rFonts w:hint="eastAsia" w:ascii="楷体_GB2312" w:hAnsi="仿宋_GB2312" w:eastAsia="楷体_GB2312" w:cs="仿宋_GB2312"/>
          <w:kern w:val="0"/>
          <w:sz w:val="32"/>
        </w:rPr>
        <w:t>各级</w:t>
      </w:r>
      <w:r>
        <w:rPr>
          <w:rFonts w:hint="eastAsia" w:ascii="楷体_GB2312" w:hAnsi="仿宋_GB2312" w:eastAsia="楷体_GB2312" w:cs="仿宋_GB2312"/>
          <w:sz w:val="32"/>
        </w:rPr>
        <w:t>民政部门要于2022年9月底之前完成本辖区内养老服务设施专项规划，</w:t>
      </w:r>
      <w:r>
        <w:rPr>
          <w:rFonts w:hint="eastAsia" w:ascii="楷体_GB2312" w:hAnsi="仿宋_GB2312" w:eastAsia="楷体_GB2312" w:cs="仿宋_GB2312"/>
          <w:kern w:val="0"/>
          <w:sz w:val="32"/>
        </w:rPr>
        <w:t>结合本地区老龄人口年龄结构、能力状况(失能半失能、失智、健康老人占比等)、空间分布等情况,科学测算辖区内老年人养老服务需求,合理确定养老服务设施类型、数量。专项规划对现状老龄人口占比较高和老龄化趋势较快的地区,应结合实际适当提高养老服务设施用地比例。</w:t>
      </w:r>
    </w:p>
    <w:p>
      <w:pPr>
        <w:spacing w:line="560" w:lineRule="exact"/>
        <w:ind w:firstLine="640" w:firstLineChars="200"/>
        <w:rPr>
          <w:rFonts w:ascii="楷体_GB2312" w:hAnsi="仿宋_GB2312" w:eastAsia="楷体_GB2312" w:cs="仿宋_GB2312"/>
          <w:sz w:val="32"/>
        </w:rPr>
      </w:pPr>
      <w:r>
        <w:rPr>
          <w:rFonts w:hint="eastAsia" w:ascii="楷体_GB2312" w:hAnsi="仿宋_GB2312" w:eastAsia="楷体_GB2312" w:cs="仿宋_GB2312"/>
          <w:kern w:val="0"/>
          <w:sz w:val="32"/>
        </w:rPr>
        <w:t>二、</w:t>
      </w:r>
      <w:r>
        <w:rPr>
          <w:rFonts w:hint="eastAsia" w:ascii="楷体_GB2312" w:hAnsi="仿宋_GB2312" w:eastAsia="楷体_GB2312" w:cs="仿宋_GB2312"/>
          <w:sz w:val="32"/>
        </w:rPr>
        <w:t>各地区要立即对2022年度竣工验收及正在施工的居住区开展全面排查，发现未达标的，明确问题形成原因。由所在地人民政府组织发展改革、民政、自然资源、住房城乡建设等部门制定措施，通过补建、购置、置换、腾退、租赁、改造等方式尽快配齐。</w:t>
      </w:r>
    </w:p>
    <w:p>
      <w:pPr>
        <w:spacing w:line="560" w:lineRule="exact"/>
        <w:ind w:firstLine="640" w:firstLineChars="200"/>
        <w:rPr>
          <w:rFonts w:ascii="楷体_GB2312" w:hAnsi="仿宋_GB2312" w:eastAsia="楷体_GB2312" w:cs="仿宋_GB2312"/>
          <w:i/>
          <w:iCs/>
          <w:sz w:val="32"/>
        </w:rPr>
      </w:pPr>
      <w:r>
        <w:rPr>
          <w:rFonts w:hint="eastAsia" w:ascii="楷体_GB2312" w:hAnsi="仿宋_GB2312" w:eastAsia="楷体_GB2312" w:cs="仿宋_GB2312"/>
          <w:sz w:val="32"/>
        </w:rPr>
        <w:t>2022年前已竣工验收且未配建养老服务设施的居住区，按照内蒙古自治区民政厅等3部门《关于加强社区养老服务设施规划建设的通知》（内民政发</w:t>
      </w:r>
      <w:r>
        <w:rPr>
          <w:rFonts w:hint="eastAsia" w:ascii="楷体_GB2312" w:eastAsia="楷体_GB2312"/>
          <w:sz w:val="32"/>
        </w:rPr>
        <w:t>〔2021〕</w:t>
      </w:r>
      <w:r>
        <w:rPr>
          <w:rFonts w:hint="eastAsia" w:ascii="楷体_GB2312" w:hAnsi="仿宋_GB2312" w:eastAsia="楷体_GB2312" w:cs="仿宋_GB2312"/>
          <w:sz w:val="32"/>
        </w:rPr>
        <w:t>75号）执行，规模较小的新建居住区可与周边地块统筹达标配建养老服务设施。</w:t>
      </w:r>
    </w:p>
    <w:p>
      <w:pPr>
        <w:spacing w:line="560" w:lineRule="exact"/>
        <w:ind w:firstLine="640" w:firstLineChars="200"/>
        <w:rPr>
          <w:rFonts w:ascii="楷体_GB2312" w:hAnsi="仿宋_GB2312" w:eastAsia="楷体_GB2312" w:cs="仿宋_GB2312"/>
          <w:sz w:val="32"/>
        </w:rPr>
      </w:pPr>
      <w:r>
        <w:rPr>
          <w:rFonts w:hint="eastAsia" w:ascii="楷体_GB2312" w:hAnsi="仿宋_GB2312" w:eastAsia="楷体_GB2312" w:cs="仿宋_GB2312"/>
          <w:sz w:val="32"/>
        </w:rPr>
        <w:t>三、坚持自治区抓统筹、盟市负总责、旗县区抓落实原则。建立由市政府办公室牵头，发展改革、民政、自然资源、住房城乡建设、残联等相关单位参加的联席会议制度，联席会议办公室设在市住房城乡建设局。各成员单位要按照职能职责和工作分工，严格落实方案确定的工作要求，及时</w:t>
      </w:r>
      <w:r>
        <w:rPr>
          <w:rFonts w:hint="eastAsia" w:ascii="楷体_GB2312" w:hAnsi="仿宋_GB2312" w:eastAsia="楷体_GB2312" w:cs="仿宋_GB2312"/>
          <w:sz w:val="32"/>
          <w:shd w:val="clear" w:color="auto" w:fill="FFFFFF"/>
        </w:rPr>
        <w:t>掌握工作推进情况,深化信息共享，会商研究解决存在困难和问题,推动工作顺利开展，</w:t>
      </w:r>
      <w:r>
        <w:rPr>
          <w:rFonts w:hint="eastAsia" w:ascii="楷体_GB2312" w:hAnsi="仿宋_GB2312" w:eastAsia="楷体_GB2312" w:cs="仿宋_GB2312"/>
          <w:sz w:val="32"/>
        </w:rPr>
        <w:t>各旗县区要参照市里建立联席会议制度，切实把新建居住区配建养老服务设施和无障碍设施工作落实到位。</w:t>
      </w:r>
    </w:p>
    <w:p>
      <w:pPr>
        <w:spacing w:line="560" w:lineRule="exact"/>
        <w:ind w:firstLine="640" w:firstLineChars="200"/>
        <w:rPr>
          <w:rFonts w:ascii="楷体_GB2312" w:hAnsi="仿宋_GB2312" w:eastAsia="楷体_GB2312" w:cs="仿宋_GB2312"/>
          <w:sz w:val="32"/>
        </w:rPr>
      </w:pPr>
      <w:r>
        <w:rPr>
          <w:rFonts w:hint="eastAsia" w:ascii="楷体_GB2312" w:hAnsi="仿宋_GB2312" w:eastAsia="楷体_GB2312" w:cs="仿宋_GB2312"/>
          <w:sz w:val="32"/>
        </w:rPr>
        <w:t>四、新建居住区配建养老服务设施达标率作为应对人口老龄化能力评价的约束性指标之一，纳入市政府对各旗县区政府的实绩目标考核内容，通过日常监控和年终考核推动我市配建养老服务设施达标率全覆盖。</w:t>
      </w:r>
    </w:p>
    <w:p>
      <w:pPr>
        <w:spacing w:line="560" w:lineRule="exact"/>
        <w:ind w:firstLine="640" w:firstLineChars="200"/>
        <w:rPr>
          <w:rFonts w:ascii="楷体_GB2312" w:hAnsi="仿宋_GB2312" w:eastAsia="楷体_GB2312" w:cs="仿宋_GB2312"/>
          <w:sz w:val="32"/>
        </w:rPr>
      </w:pPr>
      <w:r>
        <w:rPr>
          <w:rFonts w:hint="eastAsia" w:ascii="楷体_GB2312" w:hAnsi="仿宋_GB2312" w:eastAsia="楷体_GB2312" w:cs="仿宋_GB2312"/>
          <w:sz w:val="32"/>
        </w:rPr>
        <w:t>五、</w:t>
      </w:r>
      <w:r>
        <w:rPr>
          <w:rFonts w:hint="eastAsia" w:ascii="楷体_GB2312" w:hAnsi="仿宋_GB2312" w:eastAsia="楷体_GB2312" w:cs="仿宋_GB2312"/>
          <w:kern w:val="0"/>
          <w:sz w:val="32"/>
        </w:rPr>
        <w:t>各旗县区要按照全覆盖、无遗漏要求，依据《中华人民共和国老年人权益保障法》《内蒙古自治区养老服务条例》《内蒙古自治区无障碍环境建设办法》等法律法规有关规定，加大对新建居住区配建养老服务设施和建设项目配建无障碍设施的监督检查力度，</w:t>
      </w:r>
      <w:r>
        <w:rPr>
          <w:rFonts w:hint="eastAsia" w:ascii="楷体_GB2312" w:hAnsi="仿宋_GB2312" w:eastAsia="楷体_GB2312" w:cs="仿宋_GB2312"/>
          <w:sz w:val="32"/>
          <w:shd w:val="clear" w:color="auto" w:fill="FFFFFF"/>
        </w:rPr>
        <w:t>对存在配套养老服务设施缓建、缩建、停建、不建或建而不交等问题的,要建立问题清单和整改台账,坚决督促整治到位。</w:t>
      </w:r>
    </w:p>
    <w:p>
      <w:pPr>
        <w:widowControl/>
        <w:shd w:val="clear" w:color="auto" w:fill="FFFFFF"/>
        <w:spacing w:line="560" w:lineRule="exact"/>
        <w:ind w:firstLine="640" w:firstLineChars="200"/>
        <w:rPr>
          <w:rFonts w:ascii="楷体_GB2312" w:hAnsi="仿宋_GB2312" w:eastAsia="楷体_GB2312" w:cs="仿宋_GB2312"/>
          <w:kern w:val="0"/>
          <w:sz w:val="32"/>
        </w:rPr>
      </w:pPr>
      <w:r>
        <w:rPr>
          <w:rFonts w:hint="eastAsia" w:ascii="楷体_GB2312" w:hAnsi="仿宋_GB2312" w:eastAsia="楷体_GB2312" w:cs="仿宋_GB2312"/>
          <w:sz w:val="32"/>
        </w:rPr>
        <w:t>六、</w:t>
      </w:r>
      <w:r>
        <w:rPr>
          <w:rFonts w:hint="eastAsia" w:ascii="楷体_GB2312" w:hAnsi="仿宋_GB2312" w:eastAsia="楷体_GB2312" w:cs="仿宋_GB2312"/>
          <w:kern w:val="0"/>
          <w:sz w:val="32"/>
        </w:rPr>
        <w:t>自</w:t>
      </w:r>
      <w:r>
        <w:rPr>
          <w:rFonts w:ascii="楷体_GB2312" w:hAnsi="仿宋_GB2312" w:eastAsia="楷体_GB2312" w:cs="仿宋_GB2312"/>
          <w:kern w:val="0"/>
          <w:sz w:val="32"/>
        </w:rPr>
        <w:t>6</w:t>
      </w:r>
      <w:r>
        <w:rPr>
          <w:rFonts w:hint="eastAsia" w:ascii="楷体_GB2312" w:hAnsi="仿宋_GB2312" w:eastAsia="楷体_GB2312" w:cs="仿宋_GB2312"/>
          <w:kern w:val="0"/>
          <w:sz w:val="32"/>
        </w:rPr>
        <w:t>月起，各旗县区政府要组织</w:t>
      </w:r>
      <w:r>
        <w:rPr>
          <w:rFonts w:ascii="楷体_GB2312" w:hAnsi="仿宋_GB2312" w:eastAsia="楷体_GB2312" w:cs="仿宋_GB2312"/>
          <w:kern w:val="0"/>
          <w:sz w:val="32"/>
        </w:rPr>
        <w:t>住房城乡建设等部</w:t>
      </w:r>
      <w:r>
        <w:rPr>
          <w:rFonts w:hint="eastAsia" w:ascii="楷体_GB2312" w:hAnsi="仿宋_GB2312" w:eastAsia="楷体_GB2312" w:cs="仿宋_GB2312"/>
          <w:kern w:val="0"/>
          <w:sz w:val="32"/>
        </w:rPr>
        <w:t>门将相关统计报表于每月25日前报送市住房</w:t>
      </w:r>
      <w:r>
        <w:rPr>
          <w:rFonts w:ascii="楷体_GB2312" w:hAnsi="仿宋_GB2312" w:eastAsia="楷体_GB2312" w:cs="仿宋_GB2312"/>
          <w:kern w:val="0"/>
          <w:sz w:val="32"/>
        </w:rPr>
        <w:t>城乡</w:t>
      </w:r>
      <w:r>
        <w:rPr>
          <w:rFonts w:hint="eastAsia" w:ascii="楷体_GB2312" w:hAnsi="仿宋_GB2312" w:eastAsia="楷体_GB2312" w:cs="仿宋_GB2312"/>
          <w:kern w:val="0"/>
          <w:sz w:val="32"/>
        </w:rPr>
        <w:t>建设局。</w:t>
      </w:r>
    </w:p>
    <w:p>
      <w:pPr>
        <w:widowControl/>
        <w:shd w:val="clear" w:color="auto" w:fill="FFFFFF"/>
        <w:spacing w:line="560" w:lineRule="exact"/>
        <w:ind w:firstLine="640" w:firstLineChars="200"/>
        <w:rPr>
          <w:rFonts w:ascii="楷体_GB2312" w:hAnsi="仿宋_GB2312" w:eastAsia="楷体_GB2312" w:cs="仿宋_GB2312"/>
          <w:kern w:val="0"/>
          <w:sz w:val="32"/>
        </w:rPr>
      </w:pPr>
      <w:r>
        <w:rPr>
          <w:rFonts w:hint="eastAsia" w:ascii="楷体_GB2312" w:hAnsi="仿宋_GB2312" w:eastAsia="楷体_GB2312" w:cs="仿宋_GB2312"/>
          <w:kern w:val="0"/>
          <w:sz w:val="32"/>
        </w:rPr>
        <w:t>联 系 人：姜海军    刘筝</w:t>
      </w:r>
    </w:p>
    <w:p>
      <w:pPr>
        <w:widowControl/>
        <w:shd w:val="clear" w:color="auto" w:fill="FFFFFF"/>
        <w:spacing w:line="560" w:lineRule="exact"/>
        <w:ind w:firstLine="640" w:firstLineChars="200"/>
        <w:rPr>
          <w:rFonts w:ascii="楷体_GB2312" w:hAnsi="仿宋_GB2312" w:eastAsia="楷体_GB2312" w:cs="仿宋_GB2312"/>
          <w:kern w:val="0"/>
          <w:sz w:val="32"/>
        </w:rPr>
      </w:pPr>
      <w:r>
        <w:rPr>
          <w:rFonts w:hint="eastAsia" w:ascii="楷体_GB2312" w:hAnsi="仿宋_GB2312" w:eastAsia="楷体_GB2312" w:cs="仿宋_GB2312"/>
          <w:kern w:val="0"/>
          <w:sz w:val="32"/>
        </w:rPr>
        <w:t>联系电话：0476-5890272 0476-5890340</w:t>
      </w:r>
    </w:p>
    <w:p>
      <w:pPr>
        <w:widowControl/>
        <w:shd w:val="clear" w:color="auto" w:fill="FFFFFF"/>
        <w:spacing w:line="560" w:lineRule="exact"/>
        <w:ind w:firstLine="640" w:firstLineChars="200"/>
        <w:rPr>
          <w:rFonts w:ascii="楷体_GB2312" w:hAnsi="仿宋_GB2312" w:eastAsia="楷体_GB2312" w:cs="仿宋_GB2312"/>
          <w:sz w:val="32"/>
        </w:rPr>
      </w:pPr>
    </w:p>
    <w:p>
      <w:pPr>
        <w:spacing w:line="560" w:lineRule="exact"/>
        <w:ind w:firstLine="640" w:firstLineChars="200"/>
        <w:rPr>
          <w:rFonts w:ascii="楷体_GB2312" w:hAnsi="仿宋_GB2312" w:eastAsia="楷体_GB2312" w:cs="仿宋_GB2312"/>
          <w:sz w:val="32"/>
        </w:rPr>
      </w:pPr>
      <w:r>
        <w:rPr>
          <w:rFonts w:hint="eastAsia" w:ascii="楷体_GB2312" w:hAnsi="仿宋_GB2312" w:eastAsia="楷体_GB2312" w:cs="仿宋_GB2312"/>
          <w:sz w:val="32"/>
        </w:rPr>
        <w:t>附件：1.赤峰市加强新建居住区配建养老服务设施工作</w:t>
      </w:r>
    </w:p>
    <w:p>
      <w:pPr>
        <w:spacing w:line="560" w:lineRule="exact"/>
        <w:ind w:firstLine="640" w:firstLineChars="200"/>
        <w:rPr>
          <w:rFonts w:ascii="楷体_GB2312" w:hAnsi="仿宋_GB2312" w:eastAsia="楷体_GB2312" w:cs="仿宋_GB2312"/>
          <w:sz w:val="32"/>
        </w:rPr>
      </w:pPr>
      <w:r>
        <w:rPr>
          <w:rFonts w:hint="eastAsia" w:ascii="楷体_GB2312" w:hAnsi="仿宋_GB2312" w:eastAsia="楷体_GB2312" w:cs="仿宋_GB2312"/>
          <w:sz w:val="32"/>
        </w:rPr>
        <w:t xml:space="preserve">        联席会议制度</w:t>
      </w:r>
    </w:p>
    <w:p>
      <w:pPr>
        <w:spacing w:line="560" w:lineRule="exact"/>
        <w:ind w:firstLine="632" w:firstLineChars="200"/>
        <w:rPr>
          <w:rFonts w:ascii="楷体_GB2312" w:eastAsia="楷体_GB2312"/>
          <w:spacing w:val="-2"/>
          <w:sz w:val="32"/>
        </w:rPr>
      </w:pPr>
      <w:r>
        <w:rPr>
          <w:rFonts w:hint="eastAsia" w:ascii="楷体_GB2312" w:eastAsia="楷体_GB2312"/>
          <w:spacing w:val="-2"/>
          <w:sz w:val="32"/>
        </w:rPr>
        <w:t xml:space="preserve">      2.内蒙古自治区人民政府办公厅关于加强新建居</w:t>
      </w:r>
    </w:p>
    <w:p>
      <w:pPr>
        <w:spacing w:line="560" w:lineRule="exact"/>
        <w:ind w:firstLine="608" w:firstLineChars="200"/>
        <w:rPr>
          <w:rFonts w:ascii="楷体_GB2312" w:eastAsia="楷体_GB2312"/>
          <w:spacing w:val="-8"/>
          <w:sz w:val="32"/>
        </w:rPr>
      </w:pPr>
      <w:r>
        <w:rPr>
          <w:rFonts w:hint="eastAsia" w:ascii="楷体_GB2312" w:eastAsia="楷体_GB2312"/>
          <w:spacing w:val="-8"/>
          <w:sz w:val="32"/>
        </w:rPr>
        <w:t xml:space="preserve">         住区配建养老服务设施和无障碍设施工作的通知</w:t>
      </w:r>
    </w:p>
    <w:p>
      <w:pPr>
        <w:spacing w:line="560" w:lineRule="exact"/>
        <w:rPr>
          <w:rFonts w:ascii="楷体_GB2312" w:eastAsia="楷体_GB2312"/>
          <w:spacing w:val="-8"/>
          <w:sz w:val="32"/>
        </w:rPr>
      </w:pPr>
    </w:p>
    <w:p>
      <w:pPr>
        <w:spacing w:line="560" w:lineRule="exact"/>
        <w:rPr>
          <w:rFonts w:ascii="楷体_GB2312" w:eastAsia="楷体_GB2312"/>
          <w:spacing w:val="-8"/>
          <w:sz w:val="32"/>
        </w:rPr>
      </w:pPr>
    </w:p>
    <w:p>
      <w:pPr>
        <w:spacing w:line="560" w:lineRule="exact"/>
        <w:rPr>
          <w:rFonts w:ascii="楷体_GB2312" w:eastAsia="楷体_GB2312"/>
          <w:spacing w:val="-8"/>
          <w:sz w:val="32"/>
        </w:rPr>
      </w:pPr>
    </w:p>
    <w:p>
      <w:pPr>
        <w:spacing w:line="560" w:lineRule="exact"/>
        <w:rPr>
          <w:rFonts w:ascii="楷体_GB2312" w:eastAsia="楷体_GB2312"/>
          <w:spacing w:val="-8"/>
          <w:sz w:val="32"/>
        </w:rPr>
      </w:pPr>
    </w:p>
    <w:p>
      <w:pPr>
        <w:wordWrap w:val="0"/>
        <w:spacing w:line="560" w:lineRule="exact"/>
        <w:jc w:val="right"/>
        <w:rPr>
          <w:rFonts w:ascii="楷体_GB2312" w:eastAsia="楷体_GB2312"/>
          <w:spacing w:val="-8"/>
          <w:sz w:val="32"/>
        </w:rPr>
      </w:pPr>
      <w:r>
        <w:rPr>
          <w:rFonts w:hint="eastAsia" w:ascii="楷体_GB2312" w:eastAsia="楷体_GB2312"/>
          <w:spacing w:val="-8"/>
          <w:sz w:val="32"/>
        </w:rPr>
        <w:t xml:space="preserve">2022年6月30日        </w:t>
      </w:r>
    </w:p>
    <w:p>
      <w:pPr>
        <w:spacing w:line="560" w:lineRule="exact"/>
        <w:ind w:firstLine="608" w:firstLineChars="200"/>
        <w:jc w:val="left"/>
        <w:rPr>
          <w:rFonts w:ascii="楷体_GB2312" w:eastAsia="楷体_GB2312"/>
          <w:spacing w:val="-8"/>
          <w:sz w:val="32"/>
        </w:rPr>
      </w:pPr>
      <w:r>
        <w:rPr>
          <w:rFonts w:hint="eastAsia" w:ascii="楷体_GB2312" w:eastAsia="楷体_GB2312"/>
          <w:spacing w:val="-8"/>
          <w:sz w:val="32"/>
        </w:rPr>
        <w:t>（此件</w:t>
      </w:r>
      <w:r>
        <w:rPr>
          <w:rFonts w:ascii="楷体_GB2312" w:eastAsia="楷体_GB2312"/>
          <w:spacing w:val="-8"/>
          <w:sz w:val="32"/>
        </w:rPr>
        <w:t>公开发布</w:t>
      </w:r>
      <w:r>
        <w:rPr>
          <w:rFonts w:hint="eastAsia" w:ascii="楷体_GB2312" w:eastAsia="楷体_GB2312"/>
          <w:spacing w:val="-8"/>
          <w:sz w:val="32"/>
        </w:rPr>
        <w:t>）</w:t>
      </w:r>
    </w:p>
    <w:p>
      <w:pPr>
        <w:ind w:firstLine="640" w:firstLineChars="200"/>
        <w:rPr>
          <w:rFonts w:hint="eastAsia" w:ascii="仿宋_GB2312" w:eastAsia="仿宋_GB2312"/>
          <w:sz w:val="32"/>
          <w:szCs w:val="32"/>
        </w:rPr>
      </w:pPr>
    </w:p>
    <w:p/>
    <w:p>
      <w:pPr>
        <w:rPr>
          <w:rFonts w:hint="eastAsia"/>
          <w:lang w:eastAsia="zh-CN"/>
        </w:rPr>
      </w:pPr>
    </w:p>
    <w:sectPr>
      <w:footerReference r:id="rId7" w:type="first"/>
      <w:headerReference r:id="rId3" w:type="default"/>
      <w:footerReference r:id="rId5" w:type="default"/>
      <w:headerReference r:id="rId4" w:type="even"/>
      <w:footerReference r:id="rId6" w:type="even"/>
      <w:pgSz w:w="11906" w:h="16838"/>
      <w:pgMar w:top="1440" w:right="1800" w:bottom="1440" w:left="1800" w:header="851" w:footer="992" w:gutter="0"/>
      <w:pgNumType w:fmt="numberInDash"/>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Arial Unicode MS"/>
    <w:panose1 w:val="03000509000000000000"/>
    <w:charset w:val="86"/>
    <w:family w:val="script"/>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ascii="宋体" w:hAnsi="宋体"/>
        <w:sz w:val="28"/>
      </w:rPr>
    </w:pPr>
    <w:r>
      <w:rPr>
        <w:rFonts w:ascii="宋体" w:hAnsi="宋体"/>
        <w:sz w:val="28"/>
      </w:rPr>
      <w:fldChar w:fldCharType="begin"/>
    </w:r>
    <w:r>
      <w:rPr>
        <w:rFonts w:ascii="宋体" w:hAnsi="宋体"/>
        <w:sz w:val="28"/>
      </w:rPr>
      <w:instrText xml:space="preserve">PAGE   \* MERGEFORMAT</w:instrText>
    </w:r>
    <w:r>
      <w:rPr>
        <w:rFonts w:ascii="宋体" w:hAnsi="宋体"/>
        <w:sz w:val="28"/>
      </w:rPr>
      <w:fldChar w:fldCharType="separate"/>
    </w:r>
    <w:r>
      <w:rPr>
        <w:rFonts w:ascii="宋体" w:hAnsi="宋体"/>
        <w:sz w:val="28"/>
        <w:lang w:val="zh-CN"/>
      </w:rPr>
      <w:t>-</w:t>
    </w:r>
    <w:r>
      <w:rPr>
        <w:rFonts w:ascii="宋体" w:hAnsi="宋体"/>
        <w:sz w:val="28"/>
      </w:rPr>
      <w:t xml:space="preserve"> 3 -</w:t>
    </w:r>
    <w:r>
      <w:rPr>
        <w:rFonts w:ascii="宋体" w:hAnsi="宋体"/>
        <w:sz w:val="28"/>
      </w:rPr>
      <w:fldChar w:fldCharType="end"/>
    </w:r>
  </w:p>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right"/>
      <w:rPr>
        <w:rFonts w:ascii="宋体" w:hAnsi="宋体"/>
        <w:sz w:val="28"/>
      </w:rPr>
    </w:pPr>
    <w:r>
      <w:rPr>
        <w:rFonts w:ascii="宋体" w:hAnsi="宋体"/>
        <w:sz w:val="28"/>
      </w:rPr>
      <w:fldChar w:fldCharType="begin"/>
    </w:r>
    <w:r>
      <w:rPr>
        <w:rFonts w:ascii="宋体" w:hAnsi="宋体"/>
        <w:sz w:val="28"/>
      </w:rPr>
      <w:instrText xml:space="preserve">PAGE   \* MERGEFORMAT</w:instrText>
    </w:r>
    <w:r>
      <w:rPr>
        <w:rFonts w:ascii="宋体" w:hAnsi="宋体"/>
        <w:sz w:val="28"/>
      </w:rPr>
      <w:fldChar w:fldCharType="separate"/>
    </w:r>
    <w:r>
      <w:rPr>
        <w:rFonts w:ascii="宋体" w:hAnsi="宋体"/>
        <w:sz w:val="28"/>
        <w:lang w:val="zh-CN"/>
      </w:rPr>
      <w:t>-</w:t>
    </w:r>
    <w:r>
      <w:rPr>
        <w:rFonts w:ascii="宋体" w:hAnsi="宋体"/>
        <w:sz w:val="28"/>
      </w:rPr>
      <w:t xml:space="preserve"> 2 -</w:t>
    </w:r>
    <w:r>
      <w:rPr>
        <w:rFonts w:ascii="宋体" w:hAnsi="宋体"/>
        <w:sz w:val="28"/>
      </w:rPr>
      <w:fldChar w:fldCharType="end"/>
    </w:r>
  </w:p>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clear" w:pos="4153"/>
      </w:tabs>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EzYTFkMGRiYTAzNzE2NDMxYTI0ZGRlZDZhZTJmOWYifQ=="/>
  </w:docVars>
  <w:rsids>
    <w:rsidRoot w:val="00000000"/>
    <w:rsid w:val="2CC97ED5"/>
    <w:rsid w:val="367F4F9F"/>
    <w:rsid w:val="502808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12</Words>
  <Characters>12</Characters>
  <Lines>0</Lines>
  <Paragraphs>0</Paragraphs>
  <TotalTime>0</TotalTime>
  <ScaleCrop>false</ScaleCrop>
  <LinksUpToDate>false</LinksUpToDate>
  <CharactersWithSpaces>12</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2022-07-16T02:38:00Z</dcterms:created>
  <dc:creator>Administrator</dc:creator>
  <cp:lastModifiedBy>演示人</cp:lastModifiedBy>
  <dcterms:modified xsi:type="dcterms:W3CDTF">2022-07-18T07:16:02Z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CD8037FADE16410BA5E2B427B2A1B2FF</vt:lpwstr>
  </property>
</Properties>
</file>