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rPr>
          <w:rFonts w:hint="eastAsia"/>
          <w:sz w:val="44"/>
        </w:rPr>
      </w:pPr>
      <w:bookmarkStart w:id="0" w:name="二维条码"/>
      <w:bookmarkEnd w:id="0"/>
    </w:p>
    <w:p>
      <w:pPr>
        <w:adjustRightInd w:val="0"/>
        <w:snapToGrid w:val="0"/>
        <w:spacing w:line="520" w:lineRule="exact"/>
        <w:rPr>
          <w:rFonts w:hint="eastAsia"/>
          <w:sz w:val="44"/>
        </w:rPr>
      </w:pPr>
    </w:p>
    <w:p>
      <w:pPr>
        <w:adjustRightInd w:val="0"/>
        <w:snapToGrid w:val="0"/>
        <w:spacing w:line="520" w:lineRule="exact"/>
        <w:rPr>
          <w:rFonts w:hint="eastAsia"/>
          <w:sz w:val="44"/>
        </w:rPr>
      </w:pPr>
      <w:bookmarkStart w:id="1" w:name="缓急"/>
      <w:bookmarkEnd w:id="1"/>
      <w:r>
        <w:rPr>
          <w:sz w:val="44"/>
        </w:rPr>
        <w:t xml:space="preserve"> </w:t>
      </w:r>
    </w:p>
    <w:p>
      <w:pPr>
        <w:adjustRightInd w:val="0"/>
        <w:snapToGrid w:val="0"/>
        <w:spacing w:line="520" w:lineRule="exact"/>
        <w:rPr>
          <w:rFonts w:hint="eastAsia" w:ascii="黑体" w:eastAsia="黑体"/>
          <w:sz w:val="32"/>
          <w:szCs w:val="32"/>
        </w:rPr>
      </w:pPr>
    </w:p>
    <w:p>
      <w:pPr>
        <w:adjustRightInd w:val="0"/>
        <w:snapToGrid w:val="0"/>
        <w:spacing w:line="520" w:lineRule="exact"/>
        <w:rPr>
          <w:rFonts w:hint="eastAsia"/>
        </w:rPr>
      </w:pPr>
      <w:r>
        <w:drawing>
          <wp:anchor distT="0" distB="0" distL="114300" distR="114300" simplePos="0" relativeHeight="251660288" behindDoc="1" locked="0" layoutInCell="1" allowOverlap="1">
            <wp:simplePos x="0" y="0"/>
            <wp:positionH relativeFrom="column">
              <wp:posOffset>57785</wp:posOffset>
            </wp:positionH>
            <wp:positionV relativeFrom="paragraph">
              <wp:posOffset>118110</wp:posOffset>
            </wp:positionV>
            <wp:extent cx="5648325" cy="2476500"/>
            <wp:effectExtent l="0" t="0" r="5715" b="7620"/>
            <wp:wrapNone/>
            <wp:docPr id="2"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办发"/>
                    <pic:cNvPicPr>
                      <a:picLocks noChangeAspect="1"/>
                    </pic:cNvPicPr>
                  </pic:nvPicPr>
                  <pic:blipFill>
                    <a:blip r:embed="rId8"/>
                    <a:stretch>
                      <a:fillRect/>
                    </a:stretch>
                  </pic:blipFill>
                  <pic:spPr>
                    <a:xfrm>
                      <a:off x="0" y="0"/>
                      <a:ext cx="5648325" cy="2476500"/>
                    </a:xfrm>
                    <a:prstGeom prst="rect">
                      <a:avLst/>
                    </a:prstGeom>
                    <a:noFill/>
                    <a:ln>
                      <a:noFill/>
                    </a:ln>
                  </pic:spPr>
                </pic:pic>
              </a:graphicData>
            </a:graphic>
          </wp:anchor>
        </w:drawing>
      </w:r>
    </w:p>
    <w:p>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p>
    <w:p>
      <w:pPr>
        <w:adjustRightInd w:val="0"/>
        <w:snapToGrid w:val="0"/>
        <w:spacing w:line="360" w:lineRule="auto"/>
        <w:jc w:val="center"/>
        <w:rPr>
          <w:rFonts w:hint="eastAsia" w:ascii="宋体" w:hAnsi="宋体"/>
          <w:b/>
          <w:color w:val="FF0000"/>
          <w:spacing w:val="-20"/>
          <w:w w:val="50"/>
          <w:sz w:val="32"/>
          <w:szCs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05" w:firstLineChars="50"/>
        <w:rPr>
          <w:rFonts w:hint="eastAsia" w:ascii="仿宋_GB2312" w:hAnsi="华文仿宋" w:eastAsia="仿宋_GB2312"/>
          <w:sz w:val="32"/>
        </w:rPr>
      </w:pPr>
      <w:bookmarkStart w:id="56" w:name="_GoBack"/>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203835</wp:posOffset>
                </wp:positionV>
                <wp:extent cx="4142105" cy="4324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pPr>
                              <w:jc w:val="center"/>
                              <w:rPr>
                                <w:rFonts w:hint="eastAsia" w:ascii="仿宋_GB2312" w:hAnsi="仿宋" w:eastAsia="仿宋_GB2312"/>
                                <w:sz w:val="32"/>
                                <w:szCs w:val="32"/>
                              </w:rPr>
                            </w:pPr>
                            <w:bookmarkStart w:id="55" w:name="文号"/>
                            <w:bookmarkEnd w:id="55"/>
                            <w:r>
                              <w:rPr>
                                <w:rFonts w:hint="eastAsia" w:ascii="仿宋_GB2312" w:hAnsi="仿宋" w:eastAsia="仿宋_GB2312"/>
                                <w:sz w:val="32"/>
                                <w:szCs w:val="32"/>
                              </w:rPr>
                              <w:t>赤政办发〔2022〕41号</w:t>
                            </w:r>
                          </w:p>
                        </w:txbxContent>
                      </wps:txbx>
                      <wps:bodyPr upright="1"/>
                    </wps:wsp>
                  </a:graphicData>
                </a:graphic>
              </wp:anchor>
            </w:drawing>
          </mc:Choice>
          <mc:Fallback>
            <w:pict>
              <v:shape id="_x0000_s1026" o:spid="_x0000_s1026" o:spt="202" type="#_x0000_t202" style="position:absolute;left:0pt;margin-top:16.05pt;height:34.05pt;width:326.15pt;mso-position-horizontal:center;z-index:25165926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">
                <v:path/>
                <v:fill on="t" opacity="0f" focussize="0,0"/>
                <v:stroke on="f"/>
                <v:imagedata o:title=""/>
                <o:lock v:ext="edit" grouping="f" rotation="f" text="f" aspectratio="f"/>
                <v:textbox>
                  <w:txbxContent>
                    <w:p>
                      <w:pPr>
                        <w:jc w:val="center"/>
                        <w:rPr>
                          <w:rFonts w:hint="eastAsia" w:ascii="仿宋_GB2312" w:hAnsi="仿宋" w:eastAsia="仿宋_GB2312"/>
                          <w:sz w:val="32"/>
                          <w:szCs w:val="32"/>
                        </w:rPr>
                      </w:pPr>
                      <w:bookmarkStart w:id="55" w:name="文号"/>
                      <w:bookmarkEnd w:id="55"/>
                      <w:r>
                        <w:rPr>
                          <w:rFonts w:hint="eastAsia" w:ascii="仿宋_GB2312" w:hAnsi="仿宋" w:eastAsia="仿宋_GB2312"/>
                          <w:sz w:val="32"/>
                          <w:szCs w:val="32"/>
                        </w:rPr>
                        <w:t>赤政办发〔2022〕41号</w:t>
                      </w:r>
                    </w:p>
                  </w:txbxContent>
                </v:textbox>
              </v:shape>
            </w:pict>
          </mc:Fallback>
        </mc:AlternateContent>
      </w:r>
      <w:bookmarkEnd w:id="56"/>
    </w:p>
    <w:p>
      <w:pPr>
        <w:adjustRightInd w:val="0"/>
        <w:snapToGrid w:val="0"/>
        <w:spacing w:line="480" w:lineRule="exact"/>
        <w:ind w:firstLine="160" w:firstLineChars="50"/>
        <w:rPr>
          <w:rFonts w:hint="eastAsia" w:ascii="仿宋_GB2312" w:hAnsi="华文仿宋" w:eastAsia="仿宋_GB2312"/>
          <w:sz w:val="32"/>
        </w:rPr>
      </w:pPr>
    </w:p>
    <w:p>
      <w:pPr>
        <w:adjustRightInd w:val="0"/>
        <w:snapToGrid w:val="0"/>
        <w:spacing w:line="480" w:lineRule="exact"/>
        <w:ind w:firstLine="160" w:firstLineChars="50"/>
        <w:rPr>
          <w:rFonts w:hint="eastAsia" w:ascii="仿宋_GB2312" w:hAnsi="华文仿宋" w:eastAsia="仿宋_GB2312"/>
          <w:sz w:val="32"/>
        </w:rPr>
      </w:pPr>
      <w:bookmarkStart w:id="2" w:name="_Toc20067"/>
      <w:bookmarkStart w:id="3" w:name="_Toc97647616"/>
      <w:bookmarkStart w:id="4" w:name="_Toc5355"/>
      <w:bookmarkStart w:id="5" w:name="_Toc23691"/>
      <w:bookmarkStart w:id="6" w:name="_Toc4965"/>
      <w:r>
        <w:rPr>
          <w:rFonts w:hint="eastAsia" w:ascii="仿宋_GB2312" w:hAnsi="华文仿宋" w:eastAsia="仿宋_GB2312"/>
          <w:sz w:val="32"/>
        </w:rPr>
        <w:t xml:space="preserve">    </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赤峰市人民政府办公室关于印发赤峰市</w:t>
      </w:r>
    </w:p>
    <w:p>
      <w:pPr>
        <w:spacing w:line="52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基础测绘“十四五”规划的通知</w:t>
      </w:r>
    </w:p>
    <w:p>
      <w:pPr>
        <w:spacing w:line="520" w:lineRule="exact"/>
        <w:rPr>
          <w:rFonts w:ascii="仿宋_GB2312" w:hAnsi="仿宋_GB2312" w:eastAsia="仿宋_GB2312" w:cs="仿宋_GB2312"/>
          <w:sz w:val="32"/>
          <w:szCs w:val="32"/>
        </w:rPr>
      </w:pPr>
    </w:p>
    <w:p>
      <w:pPr>
        <w:spacing w:line="520" w:lineRule="exact"/>
        <w:rPr>
          <w:rFonts w:ascii="楷体_GB2312" w:hAnsi="仿宋_GB2312" w:eastAsia="楷体_GB2312" w:cs="仿宋_GB2312"/>
          <w:sz w:val="32"/>
          <w:szCs w:val="32"/>
        </w:rPr>
      </w:pPr>
      <w:r>
        <w:rPr>
          <w:rFonts w:hint="eastAsia" w:ascii="楷体_GB2312" w:hAnsi="仿宋_GB2312" w:eastAsia="楷体_GB2312" w:cs="仿宋_GB2312"/>
          <w:sz w:val="32"/>
          <w:szCs w:val="32"/>
        </w:rPr>
        <w:t>各旗县区人民政府，市直各委办局：</w:t>
      </w:r>
    </w:p>
    <w:p>
      <w:pPr>
        <w:spacing w:line="52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《赤峰市基础测绘“十四五”规划》已经赤峰市人民政府2022年第10次常务会议审议通过，现印发给你们，请结合实际，认真贯彻落实。</w:t>
      </w:r>
    </w:p>
    <w:p>
      <w:pPr>
        <w:spacing w:line="520" w:lineRule="exact"/>
        <w:ind w:firstLine="640" w:firstLineChars="200"/>
        <w:rPr>
          <w:rFonts w:ascii="楷体_GB2312" w:hAnsi="仿宋_GB2312" w:eastAsia="楷体_GB2312" w:cs="仿宋_GB2312"/>
          <w:sz w:val="32"/>
          <w:szCs w:val="32"/>
        </w:rPr>
      </w:pPr>
    </w:p>
    <w:p>
      <w:pPr>
        <w:spacing w:line="520" w:lineRule="exact"/>
        <w:ind w:firstLine="640" w:firstLineChars="200"/>
        <w:rPr>
          <w:rFonts w:ascii="楷体_GB2312" w:hAnsi="仿宋_GB2312" w:eastAsia="楷体_GB2312" w:cs="仿宋_GB2312"/>
          <w:sz w:val="32"/>
          <w:szCs w:val="32"/>
        </w:rPr>
      </w:pPr>
    </w:p>
    <w:p>
      <w:pPr>
        <w:spacing w:line="520" w:lineRule="exact"/>
        <w:ind w:firstLine="640" w:firstLineChars="200"/>
        <w:rPr>
          <w:rFonts w:ascii="楷体_GB2312" w:hAnsi="仿宋_GB2312" w:eastAsia="楷体_GB2312" w:cs="仿宋_GB2312"/>
          <w:sz w:val="32"/>
          <w:szCs w:val="32"/>
        </w:rPr>
      </w:pPr>
    </w:p>
    <w:p>
      <w:pPr>
        <w:spacing w:line="520" w:lineRule="exact"/>
        <w:ind w:right="1280" w:firstLine="640" w:firstLineChars="200"/>
        <w:jc w:val="right"/>
        <w:rPr>
          <w:rFonts w:ascii="楷体_GB2312" w:hAnsi="仿宋_GB2312" w:eastAsia="楷体_GB2312" w:cs="仿宋_GB2312"/>
          <w:sz w:val="32"/>
          <w:szCs w:val="32"/>
        </w:rPr>
      </w:pPr>
      <w:r>
        <w:rPr>
          <w:rFonts w:hint="eastAsia" w:ascii="楷体_GB2312" w:hAnsi="仿宋_GB2312" w:eastAsia="楷体_GB2312" w:cs="仿宋_GB2312"/>
          <w:sz w:val="32"/>
          <w:szCs w:val="32"/>
        </w:rPr>
        <w:t>2022年7月</w:t>
      </w:r>
      <w:r>
        <w:rPr>
          <w:rFonts w:ascii="楷体_GB2312" w:hAnsi="仿宋_GB2312" w:eastAsia="楷体_GB2312" w:cs="仿宋_GB2312"/>
          <w:sz w:val="32"/>
          <w:szCs w:val="32"/>
        </w:rPr>
        <w:t>19</w:t>
      </w:r>
      <w:r>
        <w:rPr>
          <w:rFonts w:hint="eastAsia" w:ascii="楷体_GB2312" w:hAnsi="仿宋_GB2312" w:eastAsia="楷体_GB2312" w:cs="仿宋_GB2312"/>
          <w:sz w:val="32"/>
          <w:szCs w:val="32"/>
        </w:rPr>
        <w:t>日</w:t>
      </w:r>
    </w:p>
    <w:p>
      <w:pPr>
        <w:spacing w:line="520" w:lineRule="exact"/>
        <w:ind w:firstLine="640" w:firstLineChars="200"/>
        <w:rPr>
          <w:rFonts w:ascii="仿宋_GB2312" w:hAnsi="仿宋_GB2312" w:eastAsia="仿宋_GB2312" w:cs="仿宋_GB2312"/>
          <w:szCs w:val="32"/>
        </w:rPr>
      </w:pPr>
      <w:r>
        <w:rPr>
          <w:rFonts w:hint="eastAsia" w:ascii="楷体_GB2312" w:hAnsi="楷体" w:eastAsia="楷体_GB2312"/>
          <w:sz w:val="32"/>
          <w:szCs w:val="32"/>
        </w:rPr>
        <w:t>（此件公开发布）</w:t>
      </w:r>
    </w:p>
    <w:p>
      <w:pPr>
        <w:pStyle w:val="2"/>
        <w:spacing w:after="0" w:line="520" w:lineRule="exact"/>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赤峰市基础测绘“十四五”规划</w:t>
      </w:r>
    </w:p>
    <w:p>
      <w:pPr>
        <w:pStyle w:val="2"/>
        <w:spacing w:after="0" w:line="520" w:lineRule="exact"/>
        <w:jc w:val="center"/>
        <w:rPr>
          <w:b w:val="0"/>
          <w:bCs/>
        </w:rPr>
      </w:pPr>
      <w:r>
        <w:rPr>
          <w:rFonts w:hint="eastAsia"/>
          <w:b w:val="0"/>
          <w:bCs/>
        </w:rPr>
        <w:t>前 言</w:t>
      </w:r>
      <w:bookmarkEnd w:id="2"/>
      <w:bookmarkEnd w:id="3"/>
      <w:bookmarkEnd w:id="4"/>
    </w:p>
    <w:p>
      <w:pPr>
        <w:spacing w:line="520" w:lineRule="exact"/>
      </w:pP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五”时期（2021-2025年）是我国全面建成小康社会、实现第一个百年奋斗目标之后，乘势而上开启全面建设社会主义现代化国家新征程、向着第二个百年奋斗目标进军的第一个五年，是赤峰市抢抓重大战略、赢得新一轮区域发展先机的关键期，是走好以生态优先、绿色发展为导向的高质量发展新路子、实现跨越崛起的黄金时期。</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础测绘是国家经济建设、国防建设和社会发展的基础性、公益性、先行性事业，是掌握国情国力、推进信息化建设、辅助管理决策、服务工程建设、维护国家安全和推动产业发展的重要支撑。赤峰市“十四五”基础测绘规划，是本行政区域发展规划体系中的重要专项规划，是开展基础测绘工作的总体安排和综合部署，是实施重大基础测绘项目的基本依据，也是自然资源部门履行“统一行使全民所有自然资源资产所有者职责，统一行使所有国土空间用途管制和生态保护修复职责”（以下简称“两统一”）的重要手段。</w:t>
      </w:r>
    </w:p>
    <w:p>
      <w:pPr>
        <w:spacing w:line="520" w:lineRule="exact"/>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测绘法》《基础测绘条例》《内蒙古自治区测绘管理条例》《全国基础测绘中长期规划纲要（2015—2030年）》《全国基础测绘“十四五”规划编制指南》《赤峰市国民经济和社会发展第十四个五年规划和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rPr>
        <w:t>三五年远景目标纲要》《内蒙古自治区“十四五”基础测绘规划》，结合赤峰市基础测绘工作现状和发展趋势，制定本规划，规划期限为2021-2025年。</w:t>
      </w:r>
      <w:bookmarkStart w:id="7" w:name="_Toc97647617"/>
    </w:p>
    <w:p>
      <w:pPr>
        <w:spacing w:line="520" w:lineRule="exact"/>
        <w:ind w:firstLine="640" w:firstLineChars="200"/>
        <w:contextualSpacing/>
        <w:rPr>
          <w:rFonts w:ascii="黑体" w:hAnsi="黑体" w:eastAsia="黑体"/>
          <w:bCs/>
          <w:sz w:val="32"/>
          <w:szCs w:val="32"/>
        </w:rPr>
      </w:pPr>
      <w:r>
        <w:rPr>
          <w:rFonts w:hint="eastAsia" w:ascii="黑体" w:hAnsi="黑体" w:eastAsia="黑体"/>
          <w:bCs/>
          <w:sz w:val="32"/>
          <w:szCs w:val="32"/>
        </w:rPr>
        <w:t>一、发展基础和</w:t>
      </w:r>
      <w:bookmarkEnd w:id="5"/>
      <w:r>
        <w:rPr>
          <w:rFonts w:hint="eastAsia" w:ascii="黑体" w:hAnsi="黑体" w:eastAsia="黑体"/>
          <w:bCs/>
          <w:sz w:val="32"/>
          <w:szCs w:val="32"/>
        </w:rPr>
        <w:t>需求分析</w:t>
      </w:r>
      <w:bookmarkEnd w:id="7"/>
    </w:p>
    <w:p>
      <w:pPr>
        <w:pStyle w:val="3"/>
        <w:spacing w:before="0" w:after="0" w:line="520" w:lineRule="exact"/>
        <w:contextualSpacing/>
        <w:jc w:val="left"/>
        <w:rPr>
          <w:rFonts w:ascii="楷体_GB2312" w:eastAsia="楷体_GB2312"/>
          <w:b w:val="0"/>
          <w:bCs/>
          <w:szCs w:val="32"/>
        </w:rPr>
      </w:pPr>
      <w:bookmarkStart w:id="8" w:name="_Toc22605"/>
      <w:bookmarkStart w:id="9" w:name="_Toc97647618"/>
      <w:r>
        <w:rPr>
          <w:rFonts w:hint="eastAsia" w:ascii="楷体_GB2312" w:eastAsia="楷体_GB2312"/>
          <w:b w:val="0"/>
          <w:bCs/>
          <w:szCs w:val="32"/>
        </w:rPr>
        <w:t xml:space="preserve">    （一）发展</w:t>
      </w:r>
      <w:bookmarkEnd w:id="8"/>
      <w:r>
        <w:rPr>
          <w:rFonts w:hint="eastAsia" w:ascii="楷体_GB2312" w:eastAsia="楷体_GB2312"/>
          <w:b w:val="0"/>
          <w:bCs/>
          <w:szCs w:val="32"/>
        </w:rPr>
        <w:t>基础</w:t>
      </w:r>
      <w:bookmarkEnd w:id="9"/>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赤峰市全市总面积9万平方千米，辖3区7旗2县。2020年末全市常住人口403.60万人，是自治区人口最多的盟市。独特的地理位置和地势走向造就了市域内地貌的多样和资源的丰饶，草原、森林、山地、河流、湖泊、湿地、沙漠、温泉、冰臼、石林等一应俱全，有色金属矿产、野生动植物等自然资源富集多样，获得了“内蒙古缩影”的美誉。</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1.赤峰市经济社会发展，基础测绘支撑能力进一步提升。</w:t>
      </w:r>
      <w:r>
        <w:rPr>
          <w:rFonts w:hint="eastAsia" w:ascii="仿宋_GB2312" w:hAnsi="仿宋_GB2312" w:eastAsia="仿宋_GB2312" w:cs="仿宋_GB2312"/>
          <w:sz w:val="32"/>
          <w:szCs w:val="32"/>
        </w:rPr>
        <w:t>“十三五”以来，赤峰市经济稳步发展，赤峰市基础测绘工作紧紧围绕市委、市政府中心工作，服务大局、服务社会、服务民生，扎实推进“十三五”基础测绘规划的实施，全市基础测绘发展水平和质量得到较大提升和长足发展，基础测绘的作用得到市委、市政府高度重视。具体体现在：</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（1）</w:t>
      </w:r>
      <w:r>
        <w:rPr>
          <w:rFonts w:hint="eastAsia" w:ascii="仿宋_GB2312" w:hAnsi="仿宋_GB2312" w:eastAsia="仿宋_GB2312" w:cs="仿宋_GB2312"/>
          <w:sz w:val="32"/>
          <w:szCs w:val="32"/>
        </w:rPr>
        <w:t>测绘基准体系建设取得初步成果。在自治区的支持下，全市域共建设了19个卫星导航定位基准站网点；建设了100个GNSS</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B级点和96个C级点；维护国家一等水准点255个，二等水准点257个，三等水准点97个；全市域现代测绘大地基准基本建成。赤峰市松山区、红山区1000平方千米范围内建立了“赤峰</w:t>
      </w:r>
      <w:r>
        <w:rPr>
          <w:rFonts w:ascii="仿宋_GB2312" w:hAnsi="仿宋_GB2312" w:eastAsia="仿宋_GB2312" w:cs="仿宋_GB2312"/>
          <w:sz w:val="32"/>
          <w:szCs w:val="32"/>
        </w:rPr>
        <w:t>2000城市坐标系</w:t>
      </w:r>
      <w:r>
        <w:rPr>
          <w:rFonts w:hint="eastAsia" w:ascii="仿宋_GB2312" w:hAnsi="仿宋_GB2312" w:eastAsia="仿宋_GB2312" w:cs="仿宋_GB2312"/>
          <w:sz w:val="32"/>
          <w:szCs w:val="32"/>
        </w:rPr>
        <w:t>”，建立了5厘米级似大地水准面高程模型。将过去各系统使用的</w:t>
      </w:r>
      <w:r>
        <w:rPr>
          <w:rFonts w:ascii="仿宋_GB2312" w:hAnsi="仿宋_GB2312" w:eastAsia="仿宋_GB2312" w:cs="仿宋_GB2312"/>
          <w:sz w:val="32"/>
          <w:szCs w:val="32"/>
        </w:rPr>
        <w:t>1954年北京坐标系</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1980西安坐标系</w:t>
      </w:r>
      <w:r>
        <w:rPr>
          <w:rFonts w:hint="eastAsia" w:ascii="仿宋_GB2312" w:hAnsi="仿宋_GB2312" w:eastAsia="仿宋_GB2312" w:cs="仿宋_GB2312"/>
          <w:sz w:val="32"/>
          <w:szCs w:val="32"/>
        </w:rPr>
        <w:t>、地方独立坐标系、任意坐标系，统一到了“赤峰</w:t>
      </w:r>
      <w:r>
        <w:rPr>
          <w:rFonts w:ascii="仿宋_GB2312" w:hAnsi="仿宋_GB2312" w:eastAsia="仿宋_GB2312" w:cs="仿宋_GB2312"/>
          <w:sz w:val="32"/>
          <w:szCs w:val="32"/>
        </w:rPr>
        <w:t>2000城市坐标系</w:t>
      </w:r>
      <w:r>
        <w:rPr>
          <w:rFonts w:hint="eastAsia" w:ascii="仿宋_GB2312" w:hAnsi="仿宋_GB2312" w:eastAsia="仿宋_GB2312" w:cs="仿宋_GB2312"/>
          <w:sz w:val="32"/>
          <w:szCs w:val="32"/>
        </w:rPr>
        <w:t>”，与国家标准接轨，为城市建设、管理决策提供了科学的、标准的、统一的现代化测绘基准。</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（2）地理信息资源不断丰富。实现全市域航空航天遥感影像地面分辨率优于1米影像全覆盖，完成了赤峰市中心城区周围约700平方千米的0.5米分辨率彩色航空影像获取任务；实现了3958幅的1:10</w:t>
      </w:r>
      <w:r>
        <w:rPr>
          <w:rFonts w:ascii="仿宋_GB2312" w:hAnsi="仿宋_GB2312" w:eastAsia="仿宋_GB2312" w:cs="仿宋_GB2312"/>
          <w:sz w:val="32"/>
          <w:szCs w:val="32"/>
        </w:rPr>
        <w:t>000</w:t>
      </w:r>
      <w:r>
        <w:rPr>
          <w:rFonts w:hint="eastAsia" w:ascii="仿宋_GB2312" w:hAnsi="仿宋_GB2312" w:eastAsia="仿宋_GB2312" w:cs="仿宋_GB2312"/>
          <w:sz w:val="32"/>
          <w:szCs w:val="32"/>
        </w:rPr>
        <w:t>比例尺地形图市域全覆盖，中心城区环路内186平方千米1:1000比例尺地形图覆盖。</w:t>
      </w:r>
    </w:p>
    <w:p>
      <w:pPr>
        <w:tabs>
          <w:tab w:val="left" w:pos="312"/>
        </w:tabs>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地理信息公共服务能力大幅提升。赤峰市地理信息公共服务平台（“天地图·赤峰”）初步建设完成，按照自然资源部和自治区统一标准基础服务、统一应用程序接口、统一域名、统一界面样式和统一用户管理的要求，完成了“天地图·赤峰”一体化建设工作，建立了统一数据资源体系和在线服务功能体系，提高了天地图的集约化建设水平。</w:t>
      </w:r>
    </w:p>
    <w:p>
      <w:pPr>
        <w:pStyle w:val="10"/>
        <w:spacing w:line="520" w:lineRule="exact"/>
        <w:ind w:firstLine="640"/>
        <w:rPr>
          <w:rFonts w:ascii="仿宋" w:hAnsi="仿宋" w:cs="仿宋"/>
          <w:szCs w:val="32"/>
        </w:rPr>
      </w:pPr>
      <w:r>
        <w:rPr>
          <w:rFonts w:hint="eastAsia" w:ascii="仿宋_GB2312" w:hAnsi="仿宋_GB2312" w:eastAsia="仿宋_GB2312" w:cs="仿宋_GB2312"/>
          <w:szCs w:val="32"/>
        </w:rPr>
        <w:t>协助自治区完成了地理国情普查和监测、第三次全国国土调查的测绘工作，完成数字赤峰地理空间框架建设、赤峰市地图集编制等工作内容。</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测绘地理信息行业营商环境进一步优化。“十三五”以来，赤峰市测绘地理信息主管部门尽职担当，依法履责，全面推进依法行政，加大对全市测绘资质单位的日常监督管理，对全市测绘单位实现分年度全覆盖检查，加大测绘专项执法检查和涉密测绘成果管理力度。规范地图市场管理，做好基础测绘成果汇交等工作，保证全市测绘单位和测绘市场健康稳固发展。全面落实“放管服”改革要求，大力推进工程项目综合测绘改革，率先推进“多测合一”成果共享，在强化测绘单位服务意识，优化测绘服务质量的同时，为全市行政审批制度改革做好服务保障，助力营商环境的全面优化。</w:t>
      </w:r>
    </w:p>
    <w:p>
      <w:pPr>
        <w:pStyle w:val="3"/>
        <w:spacing w:before="0" w:after="0" w:line="520" w:lineRule="exact"/>
        <w:rPr>
          <w:rFonts w:ascii="楷体_GB2312" w:eastAsia="楷体_GB2312"/>
          <w:b w:val="0"/>
          <w:bCs/>
          <w:szCs w:val="32"/>
        </w:rPr>
      </w:pPr>
      <w:bookmarkStart w:id="10" w:name="_Toc97647619"/>
      <w:r>
        <w:rPr>
          <w:rFonts w:hint="eastAsia"/>
          <w:b w:val="0"/>
          <w:bCs/>
          <w:szCs w:val="32"/>
        </w:rPr>
        <w:t xml:space="preserve">  </w:t>
      </w:r>
      <w:r>
        <w:rPr>
          <w:rFonts w:hint="eastAsia" w:ascii="楷体_GB2312" w:eastAsia="楷体_GB2312"/>
          <w:b w:val="0"/>
          <w:bCs/>
          <w:szCs w:val="32"/>
        </w:rPr>
        <w:t xml:space="preserve">  （二）需求分析</w:t>
      </w:r>
      <w:bookmarkEnd w:id="10"/>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1.国家、自治区基础测绘的要求。</w:t>
      </w:r>
      <w:r>
        <w:rPr>
          <w:rFonts w:hint="eastAsia" w:ascii="仿宋_GB2312" w:hAnsi="仿宋_GB2312" w:eastAsia="仿宋_GB2312" w:cs="仿宋_GB2312"/>
          <w:sz w:val="32"/>
          <w:szCs w:val="32"/>
        </w:rPr>
        <w:t>按照《基础测绘条例》《内蒙古自治区测绘管理条例》《内蒙古自治区基础测绘“十四五”规划》基础测绘分级管理的原则和要求，一是各盟市、旗县（市、区）要协助自治区完成测绘基准体系建设与维护，组织完成旗县政府所在地城镇开发边界内需要建立</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相对独立的平面坐标系统建设工作，有能力的旗县（市、区）开展区域高精度似大地水准面精化工作，加密GNSS C级以下等级点，按要求完成测量标志维护任务；二是要协助自治区完成基础地理信息数据获取工作，组织完成旗县政府所在地城镇开发边界内和点状开发城镇及重点产粮乡镇基础地理信息要素全覆盖（1∶2000/1∶1000/1∶500），并实现定期更新；三是要协助自治区完成实景三维建设工作，有条件的地区开展旗县政府所在地，城市开发边界内实景三维建设等各项任务；四是国家和自治区依法在赤峰地区开展基础测绘工作，需要赤峰市提供依法承担完成的基础测绘成果。</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2.赤峰市经济社会发展的需求。</w:t>
      </w:r>
      <w:r>
        <w:rPr>
          <w:rFonts w:hint="eastAsia" w:ascii="仿宋_GB2312" w:hAnsi="仿宋_GB2312" w:eastAsia="仿宋_GB2312" w:cs="仿宋_GB2312"/>
          <w:sz w:val="32"/>
          <w:szCs w:val="32"/>
        </w:rPr>
        <w:t>《赤峰市国民经济和社会发展第十四个五年规划和二〇三五年远景目标纲要》是赤峰市“十四五”发展的总纲，《赤峰市国土空间规划（2020—2035年）》是赤峰市空间发展布局的基础。赤峰市“十四五”时期发展定位是坚持走生态优先，绿色发展为导向的高质量发展新路子，建设现代化区域性中心城市、建设国家承接产业转移合作示范区、建设商贸服务型国家物流枢纽承载城市、建设国家特色文化旅游和生态休闲度假基地、建设中国北方重要的绿色农畜产品输出基地。争当区域“双子星”发展，培育东部区域中心城市带动作用的排头兵，打造成为新能源、新材料、绿色农畜产品加工的产业集聚区。体现在国土空间总体布局是构建生态、生产、生活“三生互动”的绿色保护开发格局。对基础测绘的需求体现在：</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（1）城镇化发展区：包括赤峰市红山区、松山区、元宝山区、宁城县4个旗县区。</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（2）农产品主产区：涉及赤峰市敖汉旗、林西县、巴林左旗、喀喇沁旗4个旗县的20个乡镇。</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（3）重点生态功能区：涉及赤峰市阿鲁科尔沁旗、巴林右旗、翁牛特旗、克什克腾旗4个旗。</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上述区域城镇开发边界内、新农村规划建设点、自然保护区、主体功能区等实现1:500、1:1000、1:2000比例尺尺度基础地理信息数据覆盖和快速更新，分层分级逐步建立实景三维系统，完善现代测绘基准体系，推进地理信息公共服务平台建设。</w:t>
      </w:r>
    </w:p>
    <w:p>
      <w:pPr>
        <w:spacing w:line="520" w:lineRule="exact"/>
        <w:ind w:firstLine="640" w:firstLineChars="200"/>
        <w:rPr>
          <w:rFonts w:ascii="仿宋_GB2312" w:hAnsi="仿宋_GB2312" w:eastAsia="仿宋_GB2312" w:cs="仿宋_GB2312"/>
          <w:strike/>
          <w:sz w:val="32"/>
          <w:szCs w:val="32"/>
        </w:rPr>
      </w:pPr>
      <w:r>
        <w:rPr>
          <w:rFonts w:hint="eastAsia" w:ascii="仿宋_GB2312" w:hAnsi="仿宋_GB2312" w:eastAsia="仿宋_GB2312" w:cs="仿宋_GB2312"/>
          <w:bCs/>
          <w:sz w:val="32"/>
          <w:szCs w:val="32"/>
        </w:rPr>
        <w:t>3.数字政府、自然资源“一张图”建设的需求。</w:t>
      </w:r>
      <w:r>
        <w:rPr>
          <w:rFonts w:hint="eastAsia" w:ascii="仿宋_GB2312" w:hAnsi="仿宋_GB2312" w:eastAsia="仿宋_GB2312" w:cs="仿宋_GB2312"/>
          <w:sz w:val="32"/>
          <w:szCs w:val="32"/>
        </w:rPr>
        <w:t>数字政府建设是提高治理体系和治理能力现代化管理、科学决策水平的必要手段，其“数字”管理离不开位置信息，位置信息的基础是通过基础测绘获得的基础地理信息数据，基础地理信息数据是建设数字政府的基础支撑。利用测绘技术获取区域的地上地下、水上水下不同尺度的基础地理信息数据，统一基准融合到一起，建立“山水林田湖草沙”的地理信息底板，在此基础上搭建自然资源规划、用途管制、土地利用、矿产开发管理等的应用，形成自然资源“一张图”。“一张图”建设是自然资源管理的一次重大变革，建设赤峰自然资源“一张图”需要获取全市域的基础测绘数据成果并建立更新机制，为其建设提供基础支撑。</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4.赤峰市重大战略、重点工程的需求。</w:t>
      </w:r>
      <w:r>
        <w:rPr>
          <w:rFonts w:hint="eastAsia" w:ascii="仿宋_GB2312" w:hAnsi="仿宋_GB2312" w:eastAsia="仿宋_GB2312" w:cs="仿宋_GB2312"/>
          <w:sz w:val="32"/>
          <w:szCs w:val="32"/>
        </w:rPr>
        <w:t>“十四五”时期，赤峰市将扭住京津冀、环渤海两个关键突破口，主动融入和服务国内大循环，坚持乡村振兴战略，推动数字经济、新型基础设施建设、构建国家生态园林城市、开展“山水林田湖草沙”系统治理，建设数字赤峰、智慧赤峰，在自治区筑牢“两个屏障”、建设“两个基地”、做好“一个桥头堡”的实践中展现赤峰作为。</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——生态保护与修复重点工程。老哈河、阴河、达里诺尔、英金河、锡伯河等流域生态修复建设。</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现代数字科技产业园重点工程。赤峰国家综合保税区、赤峰高新区产业园、农牧业产业园、亚琦国际物流商贸园、赤峰高铁专属经济区、喀旗和美工贸园、赤峰林西北斗星清华网络科技园、深圳拓佳液晶显示屏及电子信息装备生产基地、阿鲁科尔沁“中国草都”百万亩优质饲草产业基地等一批项目。</w:t>
      </w:r>
    </w:p>
    <w:p>
      <w:pPr>
        <w:tabs>
          <w:tab w:val="left" w:pos="2560"/>
        </w:tabs>
        <w:kinsoku w:val="0"/>
        <w:overflowPunct w:val="0"/>
        <w:autoSpaceDE w:val="0"/>
        <w:autoSpaceDN w:val="0"/>
        <w:adjustRightIn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——现代冶金产业、能源经济重点工程。赤峰100万吨铜冶炼深加工产业基地、国网新源克旗芝瑞 120 万千瓦抽水蓄能电站等一批项目。</w:t>
      </w:r>
    </w:p>
    <w:p>
      <w:pPr>
        <w:tabs>
          <w:tab w:val="left" w:pos="2560"/>
        </w:tabs>
        <w:kinsoku w:val="0"/>
        <w:overflowPunct w:val="0"/>
        <w:autoSpaceDE w:val="0"/>
        <w:autoSpaceDN w:val="0"/>
        <w:adjustRightIn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——文化旅游业重点工程。重点推进元宝山国际种苗特色小镇、宁城黑里河、喀喇</w:t>
      </w:r>
      <w:r>
        <w:rPr>
          <w:rFonts w:ascii="仿宋_GB2312" w:hAnsi="仿宋_GB2312" w:eastAsia="仿宋_GB2312" w:cs="仿宋_GB2312"/>
          <w:sz w:val="32"/>
          <w:szCs w:val="32"/>
        </w:rPr>
        <w:t>沁</w:t>
      </w:r>
      <w:r>
        <w:rPr>
          <w:rFonts w:hint="eastAsia" w:ascii="仿宋_GB2312" w:hAnsi="仿宋_GB2312" w:eastAsia="仿宋_GB2312" w:cs="仿宋_GB2312"/>
          <w:sz w:val="32"/>
          <w:szCs w:val="32"/>
        </w:rPr>
        <w:t>旗美林谷、巴</w:t>
      </w:r>
      <w:r>
        <w:rPr>
          <w:rFonts w:ascii="仿宋_GB2312" w:hAnsi="仿宋_GB2312" w:eastAsia="仿宋_GB2312" w:cs="仿宋_GB2312"/>
          <w:sz w:val="32"/>
          <w:szCs w:val="32"/>
        </w:rPr>
        <w:t>林</w:t>
      </w:r>
      <w:r>
        <w:rPr>
          <w:rFonts w:hint="eastAsia" w:ascii="仿宋_GB2312" w:hAnsi="仿宋_GB2312" w:eastAsia="仿宋_GB2312" w:cs="仿宋_GB2312"/>
          <w:sz w:val="32"/>
          <w:szCs w:val="32"/>
        </w:rPr>
        <w:t>左旗辽文化等特色小镇及翁牛</w:t>
      </w:r>
      <w:r>
        <w:rPr>
          <w:rFonts w:ascii="仿宋_GB2312" w:hAnsi="仿宋_GB2312" w:eastAsia="仿宋_GB2312" w:cs="仿宋_GB2312"/>
          <w:sz w:val="32"/>
          <w:szCs w:val="32"/>
        </w:rPr>
        <w:t>特</w:t>
      </w:r>
      <w:r>
        <w:rPr>
          <w:rFonts w:hint="eastAsia" w:ascii="仿宋_GB2312" w:hAnsi="仿宋_GB2312" w:eastAsia="仿宋_GB2312" w:cs="仿宋_GB2312"/>
          <w:sz w:val="32"/>
          <w:szCs w:val="32"/>
        </w:rPr>
        <w:t>旗玉龙沙湖、克什</w:t>
      </w:r>
      <w:r>
        <w:rPr>
          <w:rFonts w:ascii="仿宋_GB2312" w:hAnsi="仿宋_GB2312" w:eastAsia="仿宋_GB2312" w:cs="仿宋_GB2312"/>
          <w:sz w:val="32"/>
          <w:szCs w:val="32"/>
        </w:rPr>
        <w:t>克腾</w:t>
      </w:r>
      <w:r>
        <w:rPr>
          <w:rFonts w:hint="eastAsia" w:ascii="仿宋_GB2312" w:hAnsi="仿宋_GB2312" w:eastAsia="仿宋_GB2312" w:cs="仿宋_GB2312"/>
          <w:sz w:val="32"/>
          <w:szCs w:val="32"/>
        </w:rPr>
        <w:t>旗阿斯哈图石林 5A 级景区、红山二道井子遗址、敖汉城子山遗址、巴</w:t>
      </w:r>
      <w:r>
        <w:rPr>
          <w:rFonts w:ascii="仿宋_GB2312" w:hAnsi="仿宋_GB2312" w:eastAsia="仿宋_GB2312" w:cs="仿宋_GB2312"/>
          <w:sz w:val="32"/>
          <w:szCs w:val="32"/>
        </w:rPr>
        <w:t>林</w:t>
      </w:r>
      <w:r>
        <w:rPr>
          <w:rFonts w:hint="eastAsia" w:ascii="仿宋_GB2312" w:hAnsi="仿宋_GB2312" w:eastAsia="仿宋_GB2312" w:cs="仿宋_GB2312"/>
          <w:sz w:val="32"/>
          <w:szCs w:val="32"/>
        </w:rPr>
        <w:t>左旗辽上京国家考古遗址公园、辽中京文化遗址公园、林西新林镇中药生态康养文化旅游开发区等一批项目。</w:t>
      </w:r>
    </w:p>
    <w:p>
      <w:pPr>
        <w:tabs>
          <w:tab w:val="left" w:pos="2560"/>
        </w:tabs>
        <w:kinsoku w:val="0"/>
        <w:overflowPunct w:val="0"/>
        <w:autoSpaceDE w:val="0"/>
        <w:autoSpaceDN w:val="0"/>
        <w:adjustRightIn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城市基础设施重点工程。赤峰市中环路快速化改造工程、赤峰中心城区供热工程、赤峰中心城区再生水环城输水管网工程、赤峰中心城区雨污分流改造工程、中心城区垃圾处理中心二期工程、中心城区建筑固体废弃物资源化利用等一批项目。</w:t>
      </w:r>
    </w:p>
    <w:p>
      <w:pPr>
        <w:tabs>
          <w:tab w:val="left" w:pos="2560"/>
        </w:tabs>
        <w:kinsoku w:val="0"/>
        <w:overflowPunct w:val="0"/>
        <w:autoSpaceDE w:val="0"/>
        <w:autoSpaceDN w:val="0"/>
        <w:adjustRightIn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这些重大战略、重点项目的规划落地实施，都要求基础测绘在坐标系统、大比例尺地理信息数据提供准确的成果支撑。</w:t>
      </w:r>
    </w:p>
    <w:p>
      <w:pPr>
        <w:tabs>
          <w:tab w:val="left" w:pos="2560"/>
        </w:tabs>
        <w:kinsoku w:val="0"/>
        <w:overflowPunct w:val="0"/>
        <w:autoSpaceDE w:val="0"/>
        <w:autoSpaceDN w:val="0"/>
        <w:adjustRightInd w:val="0"/>
        <w:spacing w:line="520" w:lineRule="exact"/>
        <w:ind w:firstLine="640" w:firstLineChars="200"/>
        <w:rPr>
          <w:rFonts w:ascii="仿宋_GB2312" w:hAnsi="仿宋" w:eastAsia="仿宋_GB2312" w:cs="仿宋"/>
          <w:sz w:val="32"/>
          <w:szCs w:val="32"/>
        </w:rPr>
      </w:pPr>
      <w:r>
        <w:rPr>
          <w:rFonts w:hint="eastAsia" w:ascii="仿宋_GB2312" w:hAnsi="仿宋_GB2312" w:eastAsia="仿宋_GB2312" w:cs="仿宋_GB2312"/>
          <w:bCs/>
          <w:sz w:val="32"/>
          <w:szCs w:val="32"/>
        </w:rPr>
        <w:t>5.信息化发展的需求。</w:t>
      </w:r>
      <w:r>
        <w:rPr>
          <w:rFonts w:hint="eastAsia" w:ascii="仿宋_GB2312" w:hAnsi="仿宋_GB2312" w:eastAsia="仿宋_GB2312" w:cs="仿宋_GB2312"/>
          <w:sz w:val="32"/>
          <w:szCs w:val="32"/>
        </w:rPr>
        <w:t>伴随着移动互联、物联网、大数据、轻便移动终端、云计算、卫星遥感、测绘等新技术的不断发展、应用与普及，社会公众对地理信息共享服务的要求将会越来越高，“地理信息+”模式越来越广，对地理信息公共服务的刚性需求需要测绘地理信息成果不仅准确、丰</w:t>
      </w:r>
      <w:r>
        <w:rPr>
          <w:rFonts w:hint="eastAsia" w:ascii="仿宋_GB2312" w:hAnsi="仿宋" w:eastAsia="仿宋_GB2312" w:cs="仿宋"/>
          <w:sz w:val="32"/>
          <w:szCs w:val="32"/>
        </w:rPr>
        <w:t>富还要有现势性、实时性，对基础测绘提出了新要求。</w:t>
      </w:r>
      <w:bookmarkStart w:id="11" w:name="_Toc97647620"/>
    </w:p>
    <w:p>
      <w:pPr>
        <w:tabs>
          <w:tab w:val="left" w:pos="2560"/>
        </w:tabs>
        <w:kinsoku w:val="0"/>
        <w:overflowPunct w:val="0"/>
        <w:autoSpaceDE w:val="0"/>
        <w:autoSpaceDN w:val="0"/>
        <w:adjustRightInd w:val="0"/>
        <w:spacing w:line="520" w:lineRule="exact"/>
        <w:ind w:firstLine="640" w:firstLineChars="200"/>
        <w:rPr>
          <w:rFonts w:ascii="黑体" w:hAnsi="黑体" w:eastAsia="黑体" w:cs="仿宋"/>
          <w:sz w:val="32"/>
          <w:szCs w:val="32"/>
        </w:rPr>
      </w:pPr>
      <w:r>
        <w:rPr>
          <w:rFonts w:hint="eastAsia" w:ascii="黑体" w:hAnsi="黑体" w:eastAsia="黑体"/>
          <w:bCs/>
          <w:sz w:val="32"/>
          <w:szCs w:val="32"/>
        </w:rPr>
        <w:t>二、主要挑战</w:t>
      </w:r>
      <w:bookmarkEnd w:id="11"/>
    </w:p>
    <w:bookmarkEnd w:id="6"/>
    <w:p>
      <w:pPr>
        <w:pStyle w:val="3"/>
        <w:spacing w:before="0" w:after="0" w:line="520" w:lineRule="exact"/>
        <w:ind w:firstLine="640" w:firstLineChars="200"/>
        <w:rPr>
          <w:rFonts w:ascii="楷体_GB2312" w:hAnsi="楷体" w:eastAsia="楷体_GB2312"/>
          <w:b w:val="0"/>
          <w:bCs/>
          <w:szCs w:val="32"/>
        </w:rPr>
      </w:pPr>
      <w:bookmarkStart w:id="12" w:name="_Toc97647621"/>
      <w:r>
        <w:rPr>
          <w:rFonts w:hint="eastAsia" w:ascii="楷体_GB2312" w:hAnsi="楷体" w:eastAsia="楷体_GB2312"/>
          <w:b w:val="0"/>
          <w:bCs/>
          <w:szCs w:val="32"/>
        </w:rPr>
        <w:t>（一）高质量发展对基础测绘提出更高要求</w:t>
      </w:r>
      <w:bookmarkEnd w:id="12"/>
    </w:p>
    <w:p>
      <w:pPr>
        <w:spacing w:line="52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中华人民共和国测绘法》，县级以上人民政府应当将基础测绘纳入本级国民经济和社会发展年度计划及财政预算，我市在财政投入机制方面尚未形成稳定增长的健康发展机制，基础测绘投入不足，无法满足我市经济社会高质量发展需求。由于数据标准、工作机制等原因，现有基础测绘成果与其他自然资源业务管理部门之间以及其他政府部门之间的数据共建共享机制尚未完全形成。应急测绘保障制度、测绘成果登记备案制度等规章制度尚未完全建立。市本级与旗县级基础测绘发展不平衡，从而影响了自治区基础测绘统筹发展和成果综合应用。</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四五”是建设社会主义现代化强国的新开端，也是赤峰市推进高质量发展、实现跨越崛起的关键时期，为继续保持经济社会持续健康发展，需要加快提升测绘地理信息工作的深度和广度，积极主动作为，创新产品形式和服务方式，保障基础地理信息数据鲜活丰富，实现信息获取实时化、数据处理智能化。落实赤峰市国民经济和社会发展第十四个五年规划，构建国土空间开发保护新格局，自然要素需要测绘体现，蓝图需要测绘绘制，落实需要测绘支撑。</w:t>
      </w:r>
    </w:p>
    <w:p>
      <w:pPr>
        <w:pStyle w:val="3"/>
        <w:spacing w:before="0" w:after="0" w:line="520" w:lineRule="exact"/>
        <w:ind w:firstLine="640" w:firstLineChars="200"/>
        <w:rPr>
          <w:rFonts w:ascii="楷体_GB2312" w:hAnsi="楷体" w:eastAsia="楷体_GB2312"/>
          <w:b w:val="0"/>
          <w:bCs/>
          <w:szCs w:val="32"/>
        </w:rPr>
      </w:pPr>
      <w:bookmarkStart w:id="13" w:name="_Toc97647622"/>
      <w:r>
        <w:rPr>
          <w:rFonts w:hint="eastAsia" w:ascii="楷体_GB2312" w:hAnsi="楷体" w:eastAsia="楷体_GB2312"/>
          <w:b w:val="0"/>
          <w:bCs/>
          <w:szCs w:val="32"/>
        </w:rPr>
        <w:t>（二）基础地理信息资源供需矛盾仍然突出</w:t>
      </w:r>
      <w:bookmarkEnd w:id="13"/>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我市基础测绘地理信息资源供给与全市经济社会高质量发展、自然资源精细化管理的需求仍存在差距。</w:t>
      </w:r>
      <w:r>
        <w:rPr>
          <w:rFonts w:hint="eastAsia" w:ascii="仿宋_GB2312" w:hAnsi="仿宋_GB2312" w:eastAsia="仿宋_GB2312" w:cs="仿宋_GB2312"/>
          <w:sz w:val="32"/>
          <w:szCs w:val="32"/>
        </w:rPr>
        <w:t>高精度测绘基准体系建设较缓慢，多用途应用的高分辨率航空航天遥感数据获取能力不够，基础地理信息数据库建设较滞后，市、旗（县区）、乡镇、村国土空间规划急需的1:500、1:1000、1:2000大比例尺基础地理信息数据短缺，更新滞后。</w:t>
      </w:r>
    </w:p>
    <w:p>
      <w:pPr>
        <w:pStyle w:val="3"/>
        <w:spacing w:before="0" w:after="0" w:line="520" w:lineRule="exact"/>
        <w:ind w:firstLine="640" w:firstLineChars="200"/>
        <w:rPr>
          <w:rFonts w:ascii="楷体_GB2312" w:hAnsi="楷体" w:eastAsia="楷体_GB2312"/>
          <w:b w:val="0"/>
          <w:bCs/>
          <w:szCs w:val="32"/>
        </w:rPr>
      </w:pPr>
      <w:bookmarkStart w:id="14" w:name="_Toc97647623"/>
      <w:r>
        <w:rPr>
          <w:rFonts w:hint="eastAsia" w:ascii="楷体_GB2312" w:hAnsi="楷体" w:eastAsia="楷体_GB2312"/>
          <w:b w:val="0"/>
          <w:bCs/>
          <w:szCs w:val="32"/>
        </w:rPr>
        <w:t>（三）基础测绘支撑保障能力有待提升</w:t>
      </w:r>
      <w:bookmarkEnd w:id="14"/>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赤峰市地理信息公共服务平台（天地图·赤峰）建设尚未完善，在线服务渠道不足，信息集成度不高，测绘成果的社会化应用不足，自治区、市、旗县区统筹、二三维一体化测绘、地上地下、水上水下测绘统筹尚未完善，应急测绘保障能力、公共地图服务能力、信息化建设亟待提升，无法满足政府决策、城市管理和“智慧”建设的需求。同时，我市测绘工作也面临数据获取因需化、信息解译协同化、应用服务知识化人才短缺等瓶颈问题。</w:t>
      </w:r>
    </w:p>
    <w:p>
      <w:pPr>
        <w:pStyle w:val="3"/>
        <w:spacing w:before="0" w:after="0" w:line="520" w:lineRule="exact"/>
        <w:ind w:firstLine="640" w:firstLineChars="200"/>
        <w:rPr>
          <w:rFonts w:ascii="楷体_GB2312" w:hAnsi="楷体" w:eastAsia="楷体_GB2312"/>
          <w:b w:val="0"/>
          <w:bCs/>
          <w:szCs w:val="22"/>
        </w:rPr>
      </w:pPr>
      <w:bookmarkStart w:id="15" w:name="_Toc97647624"/>
      <w:r>
        <w:rPr>
          <w:rFonts w:hint="eastAsia" w:ascii="楷体_GB2312" w:hAnsi="楷体" w:eastAsia="楷体_GB2312"/>
          <w:b w:val="0"/>
          <w:bCs/>
          <w:szCs w:val="22"/>
        </w:rPr>
        <w:t>（四）自然资源管理改革为基础测绘带来新使命</w:t>
      </w:r>
      <w:bookmarkEnd w:id="15"/>
    </w:p>
    <w:p>
      <w:pPr>
        <w:pStyle w:val="6"/>
        <w:spacing w:before="0" w:beforeAutospacing="0" w:after="0" w:afterAutospacing="0" w:line="52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测绘地理信息工作纳入自然资源管理工作中，要支撑本地区经济社会发展，要对“两统一”职责履行提供支撑。通过提升测绘地理信息工作的能力和水平，完善基础测绘基准体系、标准框架、共享机制，充分发挥基础测绘基础性、前期性、精准性的特点，通过“山水林田湖草沙”一体化管理和精细化治理提供多尺度、三维立体化测绘的基底成果，为经济社会发展和自然资源管理提供更高质量的地理信息保障和服务。</w:t>
      </w:r>
    </w:p>
    <w:p>
      <w:pPr>
        <w:pStyle w:val="3"/>
        <w:spacing w:before="0" w:after="0" w:line="520" w:lineRule="exact"/>
        <w:ind w:firstLine="640" w:firstLineChars="200"/>
        <w:rPr>
          <w:rFonts w:ascii="楷体_GB2312" w:hAnsi="楷体" w:eastAsia="楷体_GB2312"/>
          <w:b w:val="0"/>
          <w:bCs/>
          <w:szCs w:val="32"/>
        </w:rPr>
      </w:pPr>
      <w:bookmarkStart w:id="16" w:name="_Toc97647625"/>
      <w:r>
        <w:rPr>
          <w:rFonts w:hint="eastAsia" w:ascii="楷体_GB2312" w:hAnsi="楷体" w:eastAsia="楷体_GB2312"/>
          <w:b w:val="0"/>
          <w:bCs/>
          <w:szCs w:val="32"/>
        </w:rPr>
        <w:t>（五）新技术发展为基础测绘带来了新的机遇</w:t>
      </w:r>
      <w:bookmarkEnd w:id="16"/>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理信息新技术发展日新月异，基础地理信息数据获取逐步向航天、航空、低空、地面、地下及水下相互补充的立体模式发展。北斗卫星定位系统、卫星对地观测体系、现代化测绘基准体系、测绘地理信息数据处理、管理及分发服务等基础设施加速完善。全球导航系统向高精度、可靠性方向发展，北斗系统已在很多领域得到了应用。逐步建立起全域覆盖、联动更新、按需服务、开放共享等为主要特征的新型基础测绘体系是大势所趋。地理信息技术与大数据、云计算、物联网、人工智能等高新技术融合日趋紧密，“地理信息+”新模式不断涌现。新技术的发展不仅带来了基础测绘技术和服务上的变革，也有助于催生新业态，提升新动能。</w:t>
      </w:r>
      <w:bookmarkStart w:id="17" w:name="_Toc97647626"/>
      <w:bookmarkStart w:id="18" w:name="_Toc10805"/>
      <w:bookmarkStart w:id="19" w:name="_Toc9558"/>
    </w:p>
    <w:p>
      <w:pPr>
        <w:spacing w:line="520" w:lineRule="exact"/>
        <w:ind w:firstLine="640" w:firstLineChars="200"/>
        <w:rPr>
          <w:rFonts w:ascii="黑体" w:hAnsi="黑体" w:eastAsia="黑体"/>
          <w:bCs/>
          <w:sz w:val="32"/>
          <w:szCs w:val="32"/>
        </w:rPr>
      </w:pPr>
      <w:r>
        <w:rPr>
          <w:rFonts w:hint="eastAsia" w:ascii="黑体" w:hAnsi="黑体" w:eastAsia="黑体"/>
          <w:bCs/>
          <w:sz w:val="32"/>
          <w:szCs w:val="32"/>
        </w:rPr>
        <w:t>三、指导思想、基本原则和发展目标</w:t>
      </w:r>
      <w:bookmarkEnd w:id="17"/>
      <w:bookmarkEnd w:id="18"/>
      <w:bookmarkEnd w:id="19"/>
      <w:bookmarkStart w:id="20" w:name="_Toc3094"/>
      <w:bookmarkStart w:id="21" w:name="_Toc21674"/>
    </w:p>
    <w:p>
      <w:pPr>
        <w:pStyle w:val="3"/>
        <w:spacing w:before="0" w:after="0" w:line="520" w:lineRule="exact"/>
        <w:jc w:val="left"/>
        <w:rPr>
          <w:rFonts w:ascii="楷体_GB2312" w:hAnsi="楷体" w:eastAsia="楷体_GB2312"/>
          <w:b w:val="0"/>
          <w:bCs/>
          <w:szCs w:val="32"/>
        </w:rPr>
      </w:pPr>
      <w:bookmarkStart w:id="22" w:name="_Toc97647627"/>
      <w:r>
        <w:rPr>
          <w:rFonts w:hint="eastAsia" w:ascii="楷体_GB2312" w:hAnsi="楷体" w:eastAsia="楷体_GB2312"/>
          <w:b w:val="0"/>
          <w:bCs/>
          <w:szCs w:val="32"/>
        </w:rPr>
        <w:t xml:space="preserve">    （一）指导思想</w:t>
      </w:r>
      <w:bookmarkEnd w:id="20"/>
      <w:bookmarkEnd w:id="21"/>
      <w:bookmarkEnd w:id="22"/>
    </w:p>
    <w:p>
      <w:pPr>
        <w:spacing w:line="520" w:lineRule="exact"/>
        <w:ind w:firstLine="640" w:firstLineChars="200"/>
        <w:rPr>
          <w:rFonts w:ascii="仿宋_GB2312" w:hAnsi="仿宋_GB2312" w:eastAsia="仿宋_GB2312" w:cs="仿宋_GB2312"/>
          <w:sz w:val="32"/>
          <w:szCs w:val="32"/>
        </w:rPr>
      </w:pPr>
      <w:bookmarkStart w:id="23" w:name="_Toc834"/>
      <w:r>
        <w:rPr>
          <w:rFonts w:hint="eastAsia" w:ascii="仿宋_GB2312" w:hAnsi="仿宋_GB2312" w:eastAsia="仿宋_GB2312" w:cs="仿宋_GB2312"/>
          <w:sz w:val="32"/>
          <w:szCs w:val="32"/>
        </w:rPr>
        <w:t>以习近平新时代中国特色社会主义思想为指导，深入贯彻党的十九大和十九届历次全会精神，把握新发展阶段，贯彻新发展理念，构建新发展格局，坚持以生态优先、绿色发展为主线，以《赤峰市国民经济和社会发展第十四个五年规划和二〇三五年远景目标纲要》为总纲，以《赤峰市国土空间规划（2020-2035）》为基础，大力加强新型基础测绘体系建设，创新测绘管理机制，提高基础测绘核心供给能力，深化地理信息公共服务能力，切实做到支撑经济社会发展、支撑自然资源管理，提升测绘地理信息能力和水平，为建设绿色赤峰提供技术支撑服务。</w:t>
      </w:r>
    </w:p>
    <w:p>
      <w:pPr>
        <w:pStyle w:val="3"/>
        <w:spacing w:before="0" w:after="0" w:line="520" w:lineRule="exact"/>
        <w:jc w:val="left"/>
        <w:rPr>
          <w:rFonts w:ascii="楷体_GB2312" w:eastAsia="楷体_GB2312"/>
          <w:b w:val="0"/>
          <w:bCs/>
          <w:szCs w:val="32"/>
        </w:rPr>
      </w:pPr>
      <w:bookmarkStart w:id="24" w:name="_Toc97647628"/>
      <w:r>
        <w:rPr>
          <w:rFonts w:hint="eastAsia" w:ascii="楷体_GB2312" w:eastAsia="楷体_GB2312"/>
          <w:b w:val="0"/>
          <w:bCs/>
          <w:szCs w:val="32"/>
        </w:rPr>
        <w:t xml:space="preserve">    （二）基本原则</w:t>
      </w:r>
      <w:bookmarkEnd w:id="23"/>
      <w:bookmarkEnd w:id="24"/>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——依法测绘，转型升级。依法履行法定职能职责，顺应新趋势，把握新机遇，精确定位，由过去的注重审批向监督管理转变，注重专业性基础测绘向新型基础测绘转变。</w:t>
      </w:r>
    </w:p>
    <w:p>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t>需求牵引，精准服务。以需求为导向，准确把握新时期赤峰市经济社会发展、自然资源管理对基础测绘的新需求，聚焦自治区和赤峰市重大战略部署和工程项目实施，逐步实现按需测绘、按需更新、多测合一、成果多用的服务新格局，实现基础性、前期性和精准性、实用性支撑保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——创新推动，科技助力。加快构建新技术浪潮下的符合赤峰市市情的新型基础测绘体系，加强测绘地理信息数据获取与处理、产品研发、服务模式、安全保密等方面的技术创新和服务创新。</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资源共享，协调发展。加强与需要位置服务的相关部门的共建共享，构建自治区、市、旗县区“统筹规划、协同实施、分级投入、成果共享”的基础测绘协调发展机制，以基础测绘成果为底板，逐步实现“山水林田湖草沙湿地矿”数据的整合和资源高效利用。</w:t>
      </w:r>
    </w:p>
    <w:p>
      <w:pPr>
        <w:pStyle w:val="3"/>
        <w:spacing w:before="0" w:after="0" w:line="560" w:lineRule="exact"/>
        <w:jc w:val="left"/>
        <w:rPr>
          <w:rFonts w:ascii="楷体_GB2312" w:eastAsia="楷体_GB2312"/>
          <w:b w:val="0"/>
          <w:bCs/>
          <w:szCs w:val="32"/>
        </w:rPr>
      </w:pPr>
      <w:bookmarkStart w:id="25" w:name="_Toc97647629"/>
      <w:bookmarkStart w:id="26" w:name="_Toc3843"/>
      <w:r>
        <w:rPr>
          <w:rFonts w:hint="eastAsia" w:ascii="楷体_GB2312" w:eastAsia="楷体_GB2312"/>
          <w:b w:val="0"/>
          <w:bCs/>
          <w:szCs w:val="32"/>
        </w:rPr>
        <w:t xml:space="preserve">    （三）发展目标</w:t>
      </w:r>
      <w:bookmarkEnd w:id="25"/>
      <w:bookmarkEnd w:id="26"/>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2025年，形成适应经济社会发展新常态的科学的基础测绘管理体制机制，新型基础测绘模式初具雏形，基础测绘成果供给能力大幅提升，供需矛盾基本缓解，能够为赤峰市生态文明建设和经济社会高质量发展，为自然资源“两统一”职责履行提供基础测绘支撑。</w:t>
      </w:r>
    </w:p>
    <w:p>
      <w:pPr>
        <w:spacing w:line="560" w:lineRule="exact"/>
        <w:ind w:firstLine="640" w:firstLineChars="200"/>
        <w:rPr>
          <w:rFonts w:ascii="仿宋_GB2312" w:hAnsi="仿宋_GB2312" w:eastAsia="仿宋_GB2312" w:cs="仿宋_GB2312"/>
          <w:strike/>
          <w:sz w:val="32"/>
          <w:szCs w:val="32"/>
        </w:rPr>
      </w:pPr>
      <w:r>
        <w:rPr>
          <w:rFonts w:hint="eastAsia" w:ascii="仿宋_GB2312" w:hAnsi="仿宋_GB2312" w:eastAsia="仿宋_GB2312" w:cs="仿宋_GB2312"/>
          <w:sz w:val="32"/>
          <w:szCs w:val="32"/>
        </w:rPr>
        <w:t>——测绘基准体系基本建成。结合自治区测绘基准体系建设规划，建成以北斗卫星导航定位基准服务系统、似大地水准面模型为基础，国家大地控制点为保障，</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相对独立坐标系统为支撑的赤峰市现代测绘基准体系，形成统一、协同、高效的服务网络，能够为全市各行业提供快速、精准、有效的测绘基准保障服务</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重点提高以红山区、松山区为中心城区范围已有的测绘基准精度，各旗县加快建设完善旗县政府所在地开发边界内的测绘基准，与国家坐标系统相统一。</w:t>
      </w:r>
    </w:p>
    <w:p>
      <w:pPr>
        <w:widowControl/>
        <w:shd w:val="clear" w:color="auto" w:fill="FFFFFF"/>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础地理信息成果更加丰富。围绕城市建设、自然资源管理，建设空间地理信息数据体系，在协助自治区级实现全市基础地理信息核心要素全覆盖的同时，针对国土空间规划布局实现大比例尺基础地理信息全覆盖，并定期更新；初步建成赤峰市卫星应用中心，具备能够及时从国家和自治区卫星应用中心获取和处理卫星影像数据的能力，实现各种分辨率卫星影像数据成果至少每年覆盖一次、重点地区适时获取的目标，满足服务赤峰市经济社会发展对卫星影像数据的需求；初步实现“数据新、技术新、制度新、应用新、运维新”的市、区（旗县）一体化基础测绘管理体系，逐步建成对地观测、地上地下、水上水下统筹的多时相、多尺度、多维度的海量基础地理信息数据库，实现年度更新。逐步实现二三维地理实体数据库，测绘信息化初现规模。</w:t>
      </w:r>
    </w:p>
    <w:p>
      <w:pPr>
        <w:widowControl/>
        <w:shd w:val="clear" w:color="auto" w:fill="FFFFFF"/>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测绘服务保障能力显著增强。实现赤峰市地理信息公共服务平台（天地图·赤峰）全面建成并实时提供在线服务；探索建设三维地理实体数据库，初步建成全市实景三维系统（实景三维赤峰），充分发挥地理信息资源综合服务能力；地图服务、应急测绘保障服务、与各行各业的互联互通和合作应用制度更加完善，能够为政府部门和社会公众提供优质的地理信息保障服务。</w:t>
      </w:r>
    </w:p>
    <w:p>
      <w:pPr>
        <w:widowControl/>
        <w:shd w:val="clear" w:color="auto" w:fill="FFFFFF"/>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测绘能力建设显著增强。大力加强测绘装备和人才队伍建设，切实提升基础地理信息自主获取、储存、处理、加工能力，全力开展自然资源领域新型基础测绘在市、区（旗县）、乡镇领域的拓展应用建设，科技创新能力得到显著提升。</w:t>
      </w:r>
    </w:p>
    <w:p>
      <w:pPr>
        <w:pStyle w:val="2"/>
        <w:snapToGrid w:val="0"/>
        <w:spacing w:before="0" w:after="0" w:line="560" w:lineRule="exact"/>
        <w:ind w:firstLine="640" w:firstLineChars="200"/>
        <w:rPr>
          <w:b w:val="0"/>
          <w:bCs/>
        </w:rPr>
      </w:pPr>
      <w:bookmarkStart w:id="27" w:name="_Toc224"/>
      <w:bookmarkStart w:id="28" w:name="_Toc97647630"/>
      <w:r>
        <w:rPr>
          <w:rFonts w:hint="eastAsia"/>
          <w:b w:val="0"/>
          <w:bCs/>
        </w:rPr>
        <w:t>四、主要任务</w:t>
      </w:r>
      <w:bookmarkEnd w:id="27"/>
      <w:bookmarkEnd w:id="28"/>
    </w:p>
    <w:p>
      <w:pPr>
        <w:keepNext/>
        <w:keepLines/>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国家对基础测绘工作的分级管理要求，按照《内蒙古自治区“十四五”基础测绘规划》中对盟市各项任务的安排部署，结合规划发展目标，“以中心城区为核心，各旗县为支撑点”，制定我市基础测绘“十四五”规划的主要任务。</w:t>
      </w:r>
    </w:p>
    <w:p>
      <w:pPr>
        <w:widowControl/>
        <w:shd w:val="clear" w:color="auto" w:fill="FFFFFF"/>
        <w:spacing w:line="560" w:lineRule="exact"/>
        <w:jc w:val="left"/>
        <w:outlineLvl w:val="1"/>
        <w:rPr>
          <w:rFonts w:ascii="楷体_GB2312" w:hAnsi="楷体" w:eastAsia="楷体_GB2312" w:cs="仿宋"/>
          <w:sz w:val="32"/>
          <w:szCs w:val="32"/>
        </w:rPr>
      </w:pPr>
      <w:bookmarkStart w:id="29" w:name="_Toc97647631"/>
      <w:r>
        <w:rPr>
          <w:rFonts w:hint="eastAsia" w:ascii="楷体" w:hAnsi="楷体" w:eastAsia="楷体" w:cs="仿宋"/>
          <w:sz w:val="32"/>
          <w:szCs w:val="32"/>
        </w:rPr>
        <w:t xml:space="preserve">  </w:t>
      </w:r>
      <w:r>
        <w:rPr>
          <w:rFonts w:hint="eastAsia" w:ascii="楷体_GB2312" w:hAnsi="楷体" w:eastAsia="楷体_GB2312" w:cs="仿宋"/>
          <w:sz w:val="32"/>
          <w:szCs w:val="32"/>
        </w:rPr>
        <w:t xml:space="preserve">  （一）依法测绘，建设现代测绘基准体系</w:t>
      </w:r>
      <w:bookmarkEnd w:id="29"/>
    </w:p>
    <w:p>
      <w:pPr>
        <w:keepNext/>
        <w:keepLines/>
        <w:spacing w:line="560" w:lineRule="exact"/>
        <w:ind w:firstLine="640" w:firstLineChars="200"/>
        <w:rPr>
          <w:rFonts w:ascii="仿宋_GB2312" w:hAnsi="仿宋_GB2312" w:eastAsia="仿宋_GB2312" w:cs="仿宋_GB2312"/>
          <w:sz w:val="32"/>
          <w:szCs w:val="32"/>
        </w:rPr>
      </w:pPr>
      <w:bookmarkStart w:id="30" w:name="_Toc72837037"/>
      <w:r>
        <w:rPr>
          <w:rFonts w:hint="eastAsia" w:ascii="仿宋_GB2312" w:hAnsi="仿宋_GB2312" w:eastAsia="仿宋_GB2312" w:cs="仿宋_GB2312"/>
          <w:sz w:val="32"/>
          <w:szCs w:val="32"/>
        </w:rPr>
        <w:t>测绘地理信息必须建立在统一、高标准的平面、高程测绘基准上，在国家、自治区已建成基础框架的基础上进一步优化我市中心城区高精度测绘基准体系，为社会各界提供动态、三维、高精度的空间定位基准服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市本级升级中心城区</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相对独立的平面坐标系统精度，平面坐标精度提高到优于3厘米；升级中心城区似大地水准面精化，高程精度提高到优于1厘米；加密中心城区300平方千米GNSS D级控制网，并施测四等水准测量；建立动态巡查，动态维护的测量标志管理机制，按自治区测量标志分级保护要求，完成测量标志维护任务。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各旗县区组织完成旗县区人民政府所在地城镇开发边界内需要建立</w:t>
      </w:r>
      <w:r>
        <w:rPr>
          <w:rFonts w:ascii="仿宋_GB2312" w:hAnsi="仿宋_GB2312" w:eastAsia="仿宋_GB2312" w:cs="仿宋_GB2312"/>
          <w:sz w:val="32"/>
          <w:szCs w:val="32"/>
        </w:rPr>
        <w:t>2000</w:t>
      </w:r>
      <w:r>
        <w:rPr>
          <w:rFonts w:hint="eastAsia" w:ascii="仿宋_GB2312" w:hAnsi="仿宋_GB2312" w:eastAsia="仿宋_GB2312" w:cs="仿宋_GB2312"/>
          <w:sz w:val="32"/>
          <w:szCs w:val="32"/>
        </w:rPr>
        <w:t>相对独立的平面坐标系统建设工作，开展GNSS D级点测绘，有能力的旗县区开展区域高精度似大地水准面精化工作。</w:t>
      </w:r>
    </w:p>
    <w:p>
      <w:pPr>
        <w:spacing w:line="520" w:lineRule="atLeast"/>
        <w:ind w:firstLine="420" w:firstLineChars="200"/>
        <w:rPr>
          <w:rFonts w:hint="eastAsia" w:ascii="仿宋_GB2312" w:hAnsi="仿宋_GB2312" w:eastAsia="仿宋_GB2312" w:cs="仿宋_GB2312"/>
          <w:szCs w:val="32"/>
        </w:rPr>
      </w:pP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522" w:type="dxa"/>
            <w:shd w:val="clear" w:color="auto" w:fill="auto"/>
            <w:noWrap w:val="0"/>
            <w:vAlign w:val="center"/>
          </w:tcPr>
          <w:p>
            <w:pPr>
              <w:widowControl/>
              <w:spacing w:line="600" w:lineRule="exact"/>
              <w:jc w:val="center"/>
              <w:rPr>
                <w:rFonts w:ascii="黑体" w:hAnsi="黑体" w:eastAsia="黑体" w:cs="仿宋"/>
                <w:bCs/>
                <w:szCs w:val="32"/>
              </w:rPr>
            </w:pPr>
            <w:r>
              <w:rPr>
                <w:rFonts w:hint="eastAsia" w:ascii="黑体" w:hAnsi="黑体" w:eastAsia="黑体" w:cs="仿宋"/>
                <w:sz w:val="24"/>
                <w:szCs w:val="32"/>
              </w:rPr>
              <w:t>专栏一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jc w:val="center"/>
        </w:trPr>
        <w:tc>
          <w:tcPr>
            <w:tcW w:w="8522" w:type="dxa"/>
            <w:shd w:val="clear" w:color="auto" w:fill="auto"/>
            <w:noWrap w:val="0"/>
            <w:vAlign w:val="top"/>
          </w:tcPr>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项目名称：中心城区现代测绘基准体系建设与维护</w:t>
            </w:r>
          </w:p>
          <w:p>
            <w:pPr>
              <w:widowControl/>
              <w:spacing w:line="360" w:lineRule="exact"/>
              <w:ind w:left="38" w:leftChars="18" w:firstLine="336" w:firstLineChars="140"/>
              <w:jc w:val="left"/>
              <w:rPr>
                <w:rFonts w:ascii="仿宋_GB2312" w:hAnsi="仿宋" w:eastAsia="仿宋_GB2312" w:cs="仿宋"/>
                <w:sz w:val="24"/>
                <w:szCs w:val="24"/>
              </w:rPr>
            </w:pPr>
            <w:r>
              <w:rPr>
                <w:rFonts w:hint="eastAsia" w:ascii="仿宋_GB2312" w:hAnsi="仿宋" w:eastAsia="仿宋_GB2312" w:cs="仿宋"/>
                <w:sz w:val="24"/>
                <w:szCs w:val="24"/>
              </w:rPr>
              <w:t>建设内容：（1）中心城区</w:t>
            </w:r>
            <w:r>
              <w:rPr>
                <w:rFonts w:ascii="仿宋_GB2312" w:hAnsi="仿宋" w:eastAsia="仿宋_GB2312" w:cs="仿宋"/>
                <w:sz w:val="24"/>
                <w:szCs w:val="24"/>
              </w:rPr>
              <w:t>2000</w:t>
            </w:r>
            <w:r>
              <w:rPr>
                <w:rFonts w:hint="eastAsia" w:ascii="仿宋_GB2312" w:hAnsi="仿宋" w:eastAsia="仿宋_GB2312" w:cs="仿宋"/>
                <w:sz w:val="24"/>
                <w:szCs w:val="24"/>
              </w:rPr>
              <w:t>相对独立的平面坐标系统精度优化到优于3厘米；</w:t>
            </w:r>
          </w:p>
          <w:p>
            <w:pPr>
              <w:widowControl/>
              <w:spacing w:line="360" w:lineRule="exact"/>
              <w:ind w:firstLine="1440" w:firstLineChars="600"/>
              <w:jc w:val="left"/>
              <w:rPr>
                <w:rFonts w:ascii="仿宋_GB2312" w:hAnsi="仿宋" w:eastAsia="仿宋_GB2312" w:cs="仿宋"/>
                <w:sz w:val="24"/>
                <w:szCs w:val="24"/>
              </w:rPr>
            </w:pPr>
            <w:r>
              <w:rPr>
                <w:rFonts w:hint="eastAsia" w:ascii="仿宋_GB2312" w:hAnsi="仿宋" w:eastAsia="仿宋_GB2312" w:cs="仿宋"/>
                <w:sz w:val="24"/>
                <w:szCs w:val="24"/>
              </w:rPr>
              <w:t>（2）中心城区似大地水准面精化精度优化到优于1厘米；</w:t>
            </w:r>
          </w:p>
          <w:p>
            <w:pPr>
              <w:widowControl/>
              <w:spacing w:line="360" w:lineRule="exact"/>
              <w:ind w:firstLine="1440" w:firstLineChars="600"/>
              <w:jc w:val="left"/>
              <w:rPr>
                <w:rFonts w:ascii="仿宋_GB2312" w:hAnsi="仿宋" w:eastAsia="仿宋_GB2312" w:cs="仿宋"/>
                <w:sz w:val="24"/>
                <w:szCs w:val="24"/>
              </w:rPr>
            </w:pPr>
            <w:r>
              <w:rPr>
                <w:rFonts w:hint="eastAsia" w:ascii="仿宋_GB2312" w:hAnsi="仿宋" w:eastAsia="仿宋_GB2312" w:cs="仿宋"/>
                <w:sz w:val="24"/>
                <w:szCs w:val="24"/>
              </w:rPr>
              <w:t>（3）开展GNSS D级点测绘；</w:t>
            </w:r>
          </w:p>
          <w:p>
            <w:pPr>
              <w:widowControl/>
              <w:spacing w:line="360" w:lineRule="exact"/>
              <w:ind w:firstLine="1440" w:firstLineChars="600"/>
              <w:jc w:val="left"/>
              <w:rPr>
                <w:rFonts w:ascii="仿宋_GB2312" w:hAnsi="仿宋" w:eastAsia="仿宋_GB2312" w:cs="仿宋"/>
                <w:sz w:val="24"/>
                <w:szCs w:val="24"/>
              </w:rPr>
            </w:pPr>
            <w:r>
              <w:rPr>
                <w:rFonts w:hint="eastAsia" w:ascii="仿宋_GB2312" w:hAnsi="仿宋" w:eastAsia="仿宋_GB2312" w:cs="仿宋"/>
                <w:sz w:val="24"/>
                <w:szCs w:val="24"/>
              </w:rPr>
              <w:t>（4）开展GNSS D级点四等水准测量；</w:t>
            </w:r>
          </w:p>
          <w:p>
            <w:pPr>
              <w:widowControl/>
              <w:spacing w:line="360" w:lineRule="exact"/>
              <w:ind w:firstLine="1440" w:firstLineChars="600"/>
              <w:jc w:val="left"/>
              <w:rPr>
                <w:rFonts w:ascii="仿宋_GB2312" w:hAnsi="仿宋" w:eastAsia="仿宋_GB2312" w:cs="仿宋"/>
                <w:sz w:val="24"/>
                <w:szCs w:val="24"/>
              </w:rPr>
            </w:pPr>
            <w:r>
              <w:rPr>
                <w:rFonts w:hint="eastAsia" w:ascii="仿宋_GB2312" w:hAnsi="仿宋" w:eastAsia="仿宋_GB2312" w:cs="仿宋"/>
                <w:sz w:val="24"/>
                <w:szCs w:val="24"/>
              </w:rPr>
              <w:t xml:space="preserve">（5）测量标志维护。 </w:t>
            </w:r>
          </w:p>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widowControl/>
              <w:spacing w:line="360" w:lineRule="exact"/>
              <w:ind w:firstLine="360" w:firstLineChars="150"/>
              <w:jc w:val="left"/>
              <w:rPr>
                <w:rFonts w:ascii="仿宋" w:hAnsi="仿宋" w:cs="仿宋"/>
                <w:bCs/>
                <w:sz w:val="28"/>
                <w:szCs w:val="28"/>
              </w:rPr>
            </w:pPr>
            <w:r>
              <w:rPr>
                <w:rFonts w:hint="eastAsia" w:ascii="仿宋_GB2312" w:hAnsi="仿宋" w:eastAsia="仿宋_GB2312" w:cs="仿宋"/>
                <w:sz w:val="24"/>
                <w:szCs w:val="24"/>
              </w:rPr>
              <w:t>经费投入：465万元</w:t>
            </w:r>
          </w:p>
        </w:tc>
      </w:tr>
    </w:tbl>
    <w:p>
      <w:pPr>
        <w:pStyle w:val="3"/>
        <w:spacing w:before="0" w:after="0" w:line="560" w:lineRule="exact"/>
        <w:ind w:firstLine="640" w:firstLineChars="200"/>
        <w:rPr>
          <w:rFonts w:ascii="楷体_GB2312" w:hAnsi="楷体" w:eastAsia="楷体_GB2312"/>
          <w:b w:val="0"/>
          <w:bCs/>
          <w:szCs w:val="22"/>
        </w:rPr>
      </w:pPr>
      <w:bookmarkStart w:id="31" w:name="_Toc97647632"/>
    </w:p>
    <w:p>
      <w:pPr>
        <w:pStyle w:val="3"/>
        <w:spacing w:before="0" w:after="0" w:line="520" w:lineRule="exact"/>
        <w:ind w:firstLine="640" w:firstLineChars="200"/>
        <w:rPr>
          <w:rFonts w:ascii="楷体_GB2312" w:hAnsi="楷体" w:eastAsia="楷体_GB2312"/>
          <w:b w:val="0"/>
          <w:bCs/>
          <w:szCs w:val="22"/>
        </w:rPr>
      </w:pPr>
      <w:r>
        <w:rPr>
          <w:rFonts w:hint="eastAsia" w:ascii="楷体_GB2312" w:hAnsi="楷体" w:eastAsia="楷体_GB2312"/>
          <w:b w:val="0"/>
          <w:bCs/>
          <w:szCs w:val="22"/>
        </w:rPr>
        <w:t>（二）</w:t>
      </w:r>
      <w:bookmarkEnd w:id="30"/>
      <w:r>
        <w:rPr>
          <w:rFonts w:hint="eastAsia" w:ascii="楷体_GB2312" w:hAnsi="楷体" w:eastAsia="楷体_GB2312"/>
          <w:b w:val="0"/>
          <w:bCs/>
          <w:szCs w:val="22"/>
        </w:rPr>
        <w:t>支撑经济社会发展，加快基础数据建设</w:t>
      </w:r>
      <w:bookmarkEnd w:id="31"/>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按照赤峰市“十四五”时期经济社会发展要求和国土空间规划布局对测绘地理信息的需求，在协助自治区本级完成1:10</w:t>
      </w:r>
      <w:r>
        <w:rPr>
          <w:rFonts w:ascii="仿宋_GB2312" w:hAnsi="仿宋_GB2312" w:eastAsia="仿宋_GB2312" w:cs="仿宋_GB2312"/>
          <w:sz w:val="32"/>
          <w:szCs w:val="32"/>
        </w:rPr>
        <w:t>000</w:t>
      </w:r>
      <w:r>
        <w:rPr>
          <w:rFonts w:hint="eastAsia" w:ascii="仿宋_GB2312" w:hAnsi="仿宋_GB2312" w:eastAsia="仿宋_GB2312" w:cs="仿宋_GB2312"/>
          <w:sz w:val="32"/>
          <w:szCs w:val="32"/>
        </w:rPr>
        <w:t>基本比例尺基础地理信息数据获取、更新任务的基础上，围绕赤峰市重点生态功能区、农产品主产区和城镇化发展区按需获取基础地理信息成果，满足各行业多领域需求，为更新国土空间基础地理信息数据库奠定基础。</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市本级计划在赤峰市中心城区原有测绘成果基础上，分区域实施1:500、1:1000基本比例300平方千米测绘，并形成动态更新机制；获取多源、多尺度高分辨率遥感影像数据，在原有亚米级遥感影像数据的基础上，利用新技术获取赤峰市中心城区以及外围1000平方千米分辨率优于5厘米的遥感影像数据，实现一次获取数据，多用途应用。</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旗县区组织完成旗县区政府所在地城镇开发边界内、重点生态功能区、农产品主产区1:500、1:1000、1:2000比例尺地形图测绘，获取分辨率优于5厘米的遥感影像数据。</w:t>
      </w:r>
    </w:p>
    <w:p>
      <w:pPr>
        <w:spacing w:line="600" w:lineRule="exact"/>
        <w:ind w:firstLine="420" w:firstLineChars="200"/>
        <w:rPr>
          <w:rFonts w:ascii="仿宋_GB2312" w:hAnsi="仿宋_GB2312" w:eastAsia="仿宋_GB2312" w:cs="仿宋_GB2312"/>
          <w:szCs w:val="32"/>
        </w:rPr>
      </w:pPr>
    </w:p>
    <w:tbl>
      <w:tblPr>
        <w:tblStyle w:val="7"/>
        <w:tblW w:w="886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right"/>
        </w:trPr>
        <w:tc>
          <w:tcPr>
            <w:tcW w:w="8867" w:type="dxa"/>
            <w:shd w:val="clear" w:color="auto" w:fill="auto"/>
            <w:noWrap w:val="0"/>
            <w:vAlign w:val="center"/>
          </w:tcPr>
          <w:p>
            <w:pPr>
              <w:widowControl/>
              <w:spacing w:line="600" w:lineRule="exact"/>
              <w:jc w:val="center"/>
              <w:rPr>
                <w:rFonts w:ascii="仿宋" w:hAnsi="仿宋" w:cs="仿宋"/>
                <w:bCs/>
                <w:szCs w:val="32"/>
              </w:rPr>
            </w:pPr>
            <w:r>
              <w:rPr>
                <w:rFonts w:hint="eastAsia" w:ascii="黑体" w:hAnsi="黑体" w:eastAsia="黑体" w:cs="仿宋"/>
                <w:sz w:val="24"/>
                <w:szCs w:val="32"/>
              </w:rPr>
              <w:t>专栏二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jc w:val="right"/>
        </w:trPr>
        <w:tc>
          <w:tcPr>
            <w:tcW w:w="8867" w:type="dxa"/>
            <w:shd w:val="clear" w:color="auto" w:fill="auto"/>
            <w:noWrap w:val="0"/>
            <w:vAlign w:val="top"/>
          </w:tcPr>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项目名称：基础地理信息更新</w:t>
            </w:r>
          </w:p>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建设内容：（1）中心城区1:500—1:1000比例尺地形图测绘；</w:t>
            </w:r>
          </w:p>
          <w:p>
            <w:pPr>
              <w:widowControl/>
              <w:spacing w:line="360" w:lineRule="exact"/>
              <w:ind w:firstLine="1440" w:firstLineChars="600"/>
              <w:jc w:val="left"/>
              <w:rPr>
                <w:rFonts w:ascii="仿宋_GB2312" w:hAnsi="仿宋" w:eastAsia="仿宋_GB2312" w:cs="仿宋"/>
                <w:sz w:val="24"/>
                <w:szCs w:val="24"/>
              </w:rPr>
            </w:pPr>
            <w:r>
              <w:rPr>
                <w:rFonts w:hint="eastAsia" w:ascii="仿宋_GB2312" w:hAnsi="仿宋" w:eastAsia="仿宋_GB2312" w:cs="仿宋"/>
                <w:sz w:val="24"/>
                <w:szCs w:val="24"/>
              </w:rPr>
              <w:t>（2）获取中心城区1000平方千米优于5厘米遥感影像数据；</w:t>
            </w:r>
          </w:p>
          <w:p>
            <w:pPr>
              <w:widowControl/>
              <w:spacing w:line="360" w:lineRule="exact"/>
              <w:ind w:firstLine="1440" w:firstLineChars="600"/>
              <w:jc w:val="left"/>
              <w:rPr>
                <w:rFonts w:ascii="仿宋_GB2312" w:hAnsi="仿宋" w:eastAsia="仿宋_GB2312" w:cs="仿宋"/>
                <w:sz w:val="24"/>
                <w:szCs w:val="24"/>
              </w:rPr>
            </w:pPr>
            <w:r>
              <w:rPr>
                <w:rFonts w:hint="eastAsia" w:ascii="仿宋_GB2312" w:hAnsi="仿宋" w:eastAsia="仿宋_GB2312" w:cs="仿宋"/>
                <w:sz w:val="24"/>
                <w:szCs w:val="24"/>
              </w:rPr>
              <w:t>（3）更新赤峰市基础地理信息系统。</w:t>
            </w:r>
          </w:p>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widowControl/>
              <w:spacing w:line="360" w:lineRule="exact"/>
              <w:ind w:firstLine="360" w:firstLineChars="150"/>
              <w:jc w:val="left"/>
              <w:rPr>
                <w:rFonts w:ascii="仿宋" w:hAnsi="仿宋" w:cs="仿宋"/>
                <w:bCs/>
                <w:sz w:val="28"/>
                <w:szCs w:val="28"/>
              </w:rPr>
            </w:pPr>
            <w:r>
              <w:rPr>
                <w:rFonts w:hint="eastAsia" w:ascii="仿宋_GB2312" w:hAnsi="仿宋" w:eastAsia="仿宋_GB2312" w:cs="仿宋"/>
                <w:sz w:val="24"/>
                <w:szCs w:val="24"/>
              </w:rPr>
              <w:t>经费投入：3250万元</w:t>
            </w:r>
          </w:p>
        </w:tc>
      </w:tr>
    </w:tbl>
    <w:p>
      <w:pPr>
        <w:pStyle w:val="3"/>
        <w:spacing w:before="0" w:after="0" w:line="600" w:lineRule="exact"/>
        <w:jc w:val="center"/>
        <w:rPr>
          <w:rFonts w:ascii="楷体_GB2312" w:hAnsi="楷体" w:eastAsia="楷体_GB2312"/>
          <w:b w:val="0"/>
          <w:bCs/>
          <w:szCs w:val="22"/>
        </w:rPr>
      </w:pPr>
      <w:bookmarkStart w:id="32" w:name="_Toc72837046"/>
      <w:bookmarkStart w:id="33" w:name="_Toc97647633"/>
      <w:bookmarkStart w:id="34" w:name="_Toc72837041"/>
    </w:p>
    <w:p>
      <w:pPr>
        <w:pStyle w:val="3"/>
        <w:spacing w:before="0" w:after="0" w:line="520" w:lineRule="exact"/>
        <w:jc w:val="center"/>
        <w:rPr>
          <w:rFonts w:ascii="楷体_GB2312" w:hAnsi="楷体" w:eastAsia="楷体_GB2312"/>
          <w:b w:val="0"/>
          <w:bCs/>
          <w:szCs w:val="22"/>
        </w:rPr>
      </w:pPr>
      <w:r>
        <w:rPr>
          <w:rFonts w:hint="eastAsia" w:ascii="楷体_GB2312" w:hAnsi="楷体" w:eastAsia="楷体_GB2312"/>
          <w:b w:val="0"/>
          <w:bCs/>
          <w:szCs w:val="22"/>
        </w:rPr>
        <w:t>（三）</w:t>
      </w:r>
      <w:bookmarkEnd w:id="32"/>
      <w:r>
        <w:rPr>
          <w:rFonts w:hint="eastAsia" w:ascii="楷体_GB2312" w:hAnsi="楷体" w:eastAsia="楷体_GB2312"/>
          <w:b w:val="0"/>
          <w:bCs/>
          <w:szCs w:val="22"/>
        </w:rPr>
        <w:t>支撑自然资源管理，建设自然资源“一张图”</w:t>
      </w:r>
      <w:bookmarkEnd w:id="33"/>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础测绘作为自然资源管理的重要技术手段，为国土空间规划、用途管制、生态修复、国情调查监测、卫片执法等自然资源管理业务提供统一的底板，进一步夯实“用地理数据说话、在三维空间研判、凭科学事实决策”，充分发挥基础性、前期性、精准性作用，为“山水林田湖草沙”一体化管理和精细化治理提供全空间、立体化测绘成果和新型基础测绘体系支撑，形成自然资源“一张图”，服务生态优先，绿色发展。</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——地理信息公共服务平台建设。</w:t>
      </w:r>
      <w:r>
        <w:rPr>
          <w:rFonts w:hint="eastAsia" w:ascii="仿宋_GB2312" w:hAnsi="仿宋_GB2312" w:eastAsia="仿宋_GB2312" w:cs="仿宋_GB2312"/>
          <w:sz w:val="32"/>
          <w:szCs w:val="32"/>
        </w:rPr>
        <w:t>完善赤峰市地理信息公共服务平台（天地图·赤峰）接入自治区级节点，并按照国家分级要求每年更新本市域内基础地理信息数据，开展“五统一”一体化建设，加快与各行各业的互联互通和合作应用，凸显其公益性地位，加大应用推广力度，实现地理信息数据“一站式”网络化服务，为政府实现治理能力和治理体系现代化提供高质量数据资源和多元化地理信息服务支撑。市本级接入自治区主节点，有条件的旗县结合本地区数字政府建设、国土空间信息平台建设、规划一张图建设，完善地理信息公共服务平台。</w:t>
      </w:r>
    </w:p>
    <w:p>
      <w:pPr>
        <w:spacing w:line="600" w:lineRule="exact"/>
        <w:ind w:firstLine="420" w:firstLineChars="200"/>
        <w:rPr>
          <w:rFonts w:ascii="仿宋_GB2312" w:hAnsi="仿宋_GB2312" w:eastAsia="仿宋_GB2312" w:cs="仿宋_GB2312"/>
          <w:szCs w:val="32"/>
        </w:rPr>
      </w:pPr>
    </w:p>
    <w:tbl>
      <w:tblPr>
        <w:tblStyle w:val="7"/>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647" w:type="dxa"/>
            <w:shd w:val="clear" w:color="auto" w:fill="auto"/>
            <w:noWrap w:val="0"/>
            <w:vAlign w:val="top"/>
          </w:tcPr>
          <w:p>
            <w:pPr>
              <w:widowControl/>
              <w:spacing w:line="360" w:lineRule="exact"/>
              <w:jc w:val="center"/>
              <w:rPr>
                <w:rFonts w:ascii="黑体" w:hAnsi="黑体" w:eastAsia="黑体" w:cs="仿宋"/>
                <w:bCs/>
                <w:szCs w:val="32"/>
              </w:rPr>
            </w:pPr>
            <w:r>
              <w:rPr>
                <w:rFonts w:hint="eastAsia" w:ascii="黑体" w:hAnsi="黑体" w:eastAsia="黑体" w:cs="仿宋"/>
                <w:sz w:val="24"/>
                <w:szCs w:val="32"/>
              </w:rPr>
              <w:t>专栏三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trPr>
        <w:tc>
          <w:tcPr>
            <w:tcW w:w="8647" w:type="dxa"/>
            <w:shd w:val="clear" w:color="auto" w:fill="auto"/>
            <w:noWrap w:val="0"/>
            <w:vAlign w:val="top"/>
          </w:tcPr>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项目名称：地理信息公共服务</w:t>
            </w:r>
          </w:p>
          <w:p>
            <w:pPr>
              <w:spacing w:line="360" w:lineRule="exact"/>
              <w:ind w:firstLine="360" w:firstLineChars="150"/>
              <w:rPr>
                <w:rFonts w:ascii="仿宋_GB2312" w:hAnsi="仿宋" w:eastAsia="仿宋_GB2312" w:cs="仿宋"/>
                <w:sz w:val="24"/>
                <w:szCs w:val="24"/>
              </w:rPr>
            </w:pPr>
            <w:r>
              <w:rPr>
                <w:rFonts w:hint="eastAsia" w:ascii="仿宋_GB2312" w:hAnsi="仿宋" w:eastAsia="仿宋_GB2312" w:cs="仿宋"/>
                <w:sz w:val="24"/>
                <w:szCs w:val="24"/>
              </w:rPr>
              <w:t>建设内容：赤峰市地理信息公共服务平台（天地图</w:t>
            </w:r>
            <w:r>
              <w:rPr>
                <w:rFonts w:hint="eastAsia" w:ascii="微软雅黑" w:hAnsi="微软雅黑" w:eastAsia="微软雅黑" w:cs="微软雅黑"/>
                <w:sz w:val="24"/>
                <w:szCs w:val="24"/>
              </w:rPr>
              <w:t>•</w:t>
            </w:r>
            <w:r>
              <w:rPr>
                <w:rFonts w:hint="eastAsia" w:ascii="仿宋_GB2312" w:hAnsi="仿宋_GB2312" w:eastAsia="仿宋_GB2312" w:cs="仿宋_GB2312"/>
                <w:sz w:val="24"/>
                <w:szCs w:val="24"/>
              </w:rPr>
              <w:t>赤峰</w:t>
            </w:r>
            <w:r>
              <w:rPr>
                <w:rFonts w:hint="eastAsia" w:ascii="仿宋_GB2312" w:hAnsi="仿宋" w:eastAsia="仿宋_GB2312" w:cs="仿宋"/>
                <w:szCs w:val="32"/>
              </w:rPr>
              <w:t>）</w:t>
            </w:r>
            <w:r>
              <w:rPr>
                <w:rFonts w:hint="eastAsia" w:ascii="仿宋_GB2312" w:hAnsi="仿宋" w:eastAsia="仿宋_GB2312" w:cs="仿宋"/>
                <w:sz w:val="24"/>
                <w:szCs w:val="24"/>
              </w:rPr>
              <w:t>数据融合更新与维护。</w:t>
            </w:r>
          </w:p>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widowControl/>
              <w:spacing w:line="360" w:lineRule="exact"/>
              <w:ind w:firstLine="360" w:firstLineChars="150"/>
              <w:jc w:val="left"/>
              <w:rPr>
                <w:rFonts w:ascii="仿宋" w:hAnsi="仿宋" w:cs="仿宋"/>
                <w:bCs/>
                <w:sz w:val="28"/>
                <w:szCs w:val="28"/>
              </w:rPr>
            </w:pPr>
            <w:r>
              <w:rPr>
                <w:rFonts w:hint="eastAsia" w:ascii="仿宋_GB2312" w:hAnsi="仿宋" w:eastAsia="仿宋_GB2312" w:cs="仿宋"/>
                <w:sz w:val="24"/>
                <w:szCs w:val="24"/>
              </w:rPr>
              <w:t>经费投入：100万元</w:t>
            </w:r>
          </w:p>
        </w:tc>
      </w:tr>
    </w:tbl>
    <w:p>
      <w:pPr>
        <w:spacing w:line="520" w:lineRule="atLeast"/>
        <w:ind w:firstLine="420" w:firstLineChars="200"/>
        <w:rPr>
          <w:rFonts w:ascii="仿宋_GB2312" w:hAnsi="仿宋_GB2312" w:eastAsia="仿宋_GB2312" w:cs="仿宋_GB2312"/>
          <w:bCs/>
          <w:szCs w:val="32"/>
        </w:rPr>
      </w:pPr>
    </w:p>
    <w:p>
      <w:pPr>
        <w:spacing w:line="52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——积极推进“实景三维赤峰”建设。</w:t>
      </w:r>
      <w:r>
        <w:rPr>
          <w:rFonts w:hint="eastAsia" w:ascii="仿宋_GB2312" w:hAnsi="仿宋_GB2312" w:eastAsia="仿宋_GB2312" w:cs="仿宋_GB2312"/>
          <w:sz w:val="32"/>
          <w:szCs w:val="32"/>
        </w:rPr>
        <w:t>按照自然资源部和自治区自然资源厅对实景三维建设的规划部署，把“实景三维赤峰”建设作为赤峰市新型基础测绘的主要任务和成果形式，带动“以地理要素为视角和对象”的传统基础测绘向“以地理实体为视角和对象”的新型基础测绘转变，做好“实景三维赤峰”建设顶层设计，按照地形、城市、部件分级分步实施的方式，以“重点区域全覆盖、高精度、优先建设，其他区域中精度、陆续建设”的原则，构建适合赤峰市经济社会发展和支撑自然资源管理的基础空间载体，全面推进高精度三维地理实景建设。市本级协助自治区开展地形三维实景建设，基于基础地理信息数据库，通过叠加卫星遥感影像数据、高精度数字高程数据，开展建设分辨率优于1米的普通地形级三维模型；推进市域空间实景三维建设，重点在中心城区开展完成约100平方千米区域内分辨率优于3厘米的城市实景三维模型建设。外围约700平方千米开展完成分辨率优于5厘米的农村住宅实景三维模型建设。以基础地理信息为框架，以“实景三维赤峰”数据库为基础，融合自然资源现状数据，建设实现二三维联动管理、空间展示、空间分析、自然资源业务应用、辅助决策等功能于一体的实景三维服务平台。研究和探索实景三维数据实时用于自然资源调查监测、国土空间规划、用途管制、自然资源确权登记、卫片执法监管、绿色矿山建设、生态治理修复等方面的应用。按照共享和开放类别，推广应用到城市综合治理、智慧城管、城市灾害应急等领域，广泛提供社会化应用和增值服务。有条件的旗县区开展政府所在地实景三维模型建设，逐步实现旗县区和集中建设区实景三维模型全覆盖。</w:t>
      </w:r>
    </w:p>
    <w:p>
      <w:pPr>
        <w:spacing w:line="520" w:lineRule="atLeast"/>
        <w:ind w:firstLine="640" w:firstLineChars="200"/>
        <w:rPr>
          <w:rFonts w:hint="eastAsia" w:ascii="仿宋_GB2312" w:hAnsi="仿宋_GB2312" w:eastAsia="仿宋_GB2312" w:cs="仿宋_GB2312"/>
          <w:sz w:val="32"/>
          <w:szCs w:val="32"/>
        </w:rPr>
      </w:pPr>
    </w:p>
    <w:tbl>
      <w:tblPr>
        <w:tblStyle w:val="7"/>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931" w:type="dxa"/>
            <w:shd w:val="clear" w:color="auto" w:fill="auto"/>
            <w:noWrap w:val="0"/>
            <w:vAlign w:val="top"/>
          </w:tcPr>
          <w:p>
            <w:pPr>
              <w:widowControl/>
              <w:spacing w:line="360" w:lineRule="exact"/>
              <w:jc w:val="center"/>
              <w:rPr>
                <w:rFonts w:ascii="黑体" w:hAnsi="黑体" w:eastAsia="黑体" w:cs="仿宋"/>
                <w:bCs/>
                <w:szCs w:val="32"/>
              </w:rPr>
            </w:pPr>
            <w:r>
              <w:rPr>
                <w:rFonts w:hint="eastAsia" w:ascii="黑体" w:hAnsi="黑体" w:eastAsia="黑体" w:cs="仿宋"/>
                <w:sz w:val="24"/>
                <w:szCs w:val="32"/>
              </w:rPr>
              <w:t>专栏四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931" w:type="dxa"/>
            <w:shd w:val="clear" w:color="auto" w:fill="auto"/>
            <w:noWrap w:val="0"/>
            <w:vAlign w:val="top"/>
          </w:tcPr>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项目名称：“实景三维赤峰”建设</w:t>
            </w:r>
          </w:p>
          <w:p>
            <w:pPr>
              <w:spacing w:line="360" w:lineRule="exact"/>
              <w:ind w:firstLine="360" w:firstLineChars="150"/>
              <w:rPr>
                <w:rFonts w:ascii="仿宋_GB2312" w:hAnsi="仿宋" w:eastAsia="仿宋_GB2312" w:cs="仿宋"/>
                <w:sz w:val="24"/>
                <w:szCs w:val="24"/>
              </w:rPr>
            </w:pPr>
            <w:r>
              <w:rPr>
                <w:rFonts w:hint="eastAsia" w:ascii="仿宋_GB2312" w:hAnsi="仿宋" w:eastAsia="仿宋_GB2312" w:cs="仿宋"/>
                <w:sz w:val="24"/>
                <w:szCs w:val="24"/>
              </w:rPr>
              <w:t xml:space="preserve">建设内容：以“中心城区为重点区域全覆盖亚米级高精度优先建设，其他地区米级建设为原则”，逐步开展实景三维模型建设。 </w:t>
            </w:r>
          </w:p>
          <w:p>
            <w:pPr>
              <w:widowControl/>
              <w:spacing w:line="36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widowControl/>
              <w:spacing w:line="360" w:lineRule="exact"/>
              <w:ind w:firstLine="360" w:firstLineChars="150"/>
              <w:jc w:val="left"/>
              <w:rPr>
                <w:rFonts w:ascii="仿宋" w:hAnsi="仿宋" w:cs="仿宋"/>
                <w:bCs/>
                <w:sz w:val="28"/>
                <w:szCs w:val="28"/>
              </w:rPr>
            </w:pPr>
            <w:r>
              <w:rPr>
                <w:rFonts w:hint="eastAsia" w:ascii="仿宋_GB2312" w:hAnsi="仿宋" w:eastAsia="仿宋_GB2312" w:cs="仿宋"/>
                <w:sz w:val="24"/>
                <w:szCs w:val="24"/>
              </w:rPr>
              <w:t>经费投入：500万元</w:t>
            </w:r>
          </w:p>
        </w:tc>
      </w:tr>
    </w:tbl>
    <w:p>
      <w:pPr>
        <w:pStyle w:val="3"/>
        <w:spacing w:before="0" w:after="0" w:line="560" w:lineRule="exact"/>
        <w:ind w:firstLine="640" w:firstLineChars="200"/>
        <w:rPr>
          <w:rFonts w:ascii="楷体_GB2312" w:hAnsi="楷体" w:eastAsia="楷体_GB2312"/>
          <w:b w:val="0"/>
          <w:bCs/>
          <w:szCs w:val="22"/>
        </w:rPr>
      </w:pPr>
      <w:bookmarkStart w:id="35" w:name="_Toc97647634"/>
    </w:p>
    <w:p>
      <w:pPr>
        <w:pStyle w:val="3"/>
        <w:spacing w:before="0" w:after="0" w:line="560" w:lineRule="exact"/>
        <w:ind w:firstLine="640" w:firstLineChars="200"/>
        <w:rPr>
          <w:rFonts w:ascii="楷体_GB2312" w:hAnsi="楷体" w:eastAsia="楷体_GB2312"/>
          <w:b w:val="0"/>
          <w:bCs/>
          <w:szCs w:val="22"/>
        </w:rPr>
      </w:pPr>
      <w:r>
        <w:rPr>
          <w:rFonts w:hint="eastAsia" w:ascii="楷体_GB2312" w:hAnsi="楷体" w:eastAsia="楷体_GB2312"/>
          <w:b w:val="0"/>
          <w:bCs/>
          <w:szCs w:val="22"/>
        </w:rPr>
        <w:t>（四）服务重大战略，保障重点工程项目建设</w:t>
      </w:r>
      <w:bookmarkEnd w:id="35"/>
    </w:p>
    <w:p>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每年选择3—5个生态保护与修复、现代数字科技产业园、现代冶金产业、能源经济、文化旅游业、城市基础设施建设等重点工程，采用各种测绘技术进行地理信息要素的获取服务赤峰市重大战略、重点工程。</w:t>
      </w:r>
    </w:p>
    <w:p>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本级将围绕生态系统保护与修复重点工程，开展老哈河、达里诺尔湖等重点区域水系的测绘工作；围绕现代数字科技产业园重点工程，开展赤峰国家综合保税区、赤峰高新区产业园等项目的测绘工作；围绕现代冶金产业、能源经济重点工程，开展赤峰100万吨铜冶炼深加工产业基地、国网新源克旗芝瑞 120 万千瓦抽水蓄能电站等项目的测绘工作；围绕文化旅游业重点工程，重点开展元宝山国际种苗特色小镇、宁城县黑里河、喀喇沁旗美林谷等项目的测绘工作；围绕城市基础设施重点工程，开展赤峰市中环路快速化改造工程、赤峰中心城区地下管网等项目的测绘工程；围绕国土调查监测开展测绘工作。</w:t>
      </w:r>
    </w:p>
    <w:p>
      <w:pPr>
        <w:tabs>
          <w:tab w:val="left" w:pos="2560"/>
        </w:tabs>
        <w:kinsoku w:val="0"/>
        <w:overflowPunct w:val="0"/>
        <w:autoSpaceDE w:val="0"/>
        <w:autoSpaceDN w:val="0"/>
        <w:adjustRightIn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旗县区组织开展辖区内的乡村振兴、各类重点工程项目的测绘工作。</w:t>
      </w:r>
    </w:p>
    <w:p>
      <w:pPr>
        <w:tabs>
          <w:tab w:val="left" w:pos="2560"/>
        </w:tabs>
        <w:kinsoku w:val="0"/>
        <w:overflowPunct w:val="0"/>
        <w:autoSpaceDE w:val="0"/>
        <w:autoSpaceDN w:val="0"/>
        <w:adjustRightInd w:val="0"/>
        <w:spacing w:line="520" w:lineRule="exact"/>
        <w:ind w:firstLine="640" w:firstLineChars="200"/>
        <w:rPr>
          <w:rFonts w:hint="eastAsia" w:ascii="仿宋_GB2312" w:hAnsi="仿宋_GB2312" w:eastAsia="仿宋_GB2312" w:cs="仿宋_GB2312"/>
          <w:sz w:val="32"/>
          <w:szCs w:val="32"/>
        </w:rPr>
      </w:pP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22" w:type="dxa"/>
            <w:shd w:val="clear" w:color="auto" w:fill="auto"/>
            <w:noWrap w:val="0"/>
            <w:vAlign w:val="top"/>
          </w:tcPr>
          <w:p>
            <w:pPr>
              <w:widowControl/>
              <w:spacing w:line="340" w:lineRule="exact"/>
              <w:jc w:val="center"/>
              <w:rPr>
                <w:rFonts w:ascii="黑体" w:hAnsi="黑体" w:eastAsia="黑体" w:cs="仿宋"/>
                <w:bCs/>
                <w:szCs w:val="32"/>
              </w:rPr>
            </w:pPr>
            <w:r>
              <w:rPr>
                <w:rFonts w:hint="eastAsia" w:ascii="黑体" w:hAnsi="黑体" w:eastAsia="黑体" w:cs="仿宋"/>
                <w:sz w:val="24"/>
                <w:szCs w:val="32"/>
              </w:rPr>
              <w:t>专栏五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8522" w:type="dxa"/>
            <w:shd w:val="clear" w:color="auto" w:fill="auto"/>
            <w:noWrap w:val="0"/>
            <w:vAlign w:val="top"/>
          </w:tcPr>
          <w:p>
            <w:pPr>
              <w:widowControl/>
              <w:spacing w:line="34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项目名称：重点工程项目保障服务</w:t>
            </w:r>
          </w:p>
          <w:p>
            <w:pPr>
              <w:spacing w:line="340" w:lineRule="exact"/>
              <w:ind w:firstLine="360" w:firstLineChars="150"/>
              <w:rPr>
                <w:rFonts w:ascii="仿宋_GB2312" w:hAnsi="仿宋" w:eastAsia="仿宋_GB2312" w:cs="仿宋"/>
                <w:sz w:val="24"/>
                <w:szCs w:val="24"/>
              </w:rPr>
            </w:pPr>
            <w:r>
              <w:rPr>
                <w:rFonts w:hint="eastAsia" w:ascii="仿宋_GB2312" w:hAnsi="仿宋" w:eastAsia="仿宋_GB2312" w:cs="仿宋"/>
                <w:sz w:val="24"/>
                <w:szCs w:val="24"/>
              </w:rPr>
              <w:t>建设内容：（1）开展重点水域生态修复测绘；</w:t>
            </w:r>
          </w:p>
          <w:p>
            <w:pPr>
              <w:spacing w:line="340" w:lineRule="exact"/>
              <w:ind w:firstLine="1440" w:firstLineChars="600"/>
              <w:rPr>
                <w:rFonts w:ascii="仿宋_GB2312" w:hAnsi="仿宋" w:eastAsia="仿宋_GB2312" w:cs="仿宋"/>
                <w:sz w:val="24"/>
                <w:szCs w:val="24"/>
              </w:rPr>
            </w:pPr>
            <w:r>
              <w:rPr>
                <w:rFonts w:hint="eastAsia" w:ascii="仿宋_GB2312" w:hAnsi="仿宋" w:eastAsia="仿宋_GB2312" w:cs="仿宋"/>
                <w:sz w:val="24"/>
                <w:szCs w:val="24"/>
              </w:rPr>
              <w:t>（2）开展各类产业园测绘；</w:t>
            </w:r>
          </w:p>
          <w:p>
            <w:pPr>
              <w:spacing w:line="340" w:lineRule="exact"/>
              <w:ind w:firstLine="1440" w:firstLineChars="600"/>
              <w:rPr>
                <w:rFonts w:ascii="仿宋_GB2312" w:hAnsi="仿宋" w:eastAsia="仿宋_GB2312" w:cs="仿宋"/>
                <w:sz w:val="24"/>
                <w:szCs w:val="24"/>
              </w:rPr>
            </w:pPr>
            <w:r>
              <w:rPr>
                <w:rFonts w:hint="eastAsia" w:ascii="仿宋_GB2312" w:hAnsi="仿宋" w:eastAsia="仿宋_GB2312" w:cs="仿宋"/>
                <w:sz w:val="24"/>
                <w:szCs w:val="24"/>
              </w:rPr>
              <w:t>（3）开展重点旅游度假区测绘；</w:t>
            </w:r>
          </w:p>
          <w:p>
            <w:pPr>
              <w:spacing w:line="340" w:lineRule="exact"/>
              <w:ind w:firstLine="1440" w:firstLineChars="600"/>
              <w:rPr>
                <w:rFonts w:ascii="仿宋_GB2312" w:hAnsi="仿宋" w:eastAsia="仿宋_GB2312" w:cs="仿宋"/>
                <w:sz w:val="24"/>
                <w:szCs w:val="24"/>
              </w:rPr>
            </w:pPr>
            <w:r>
              <w:rPr>
                <w:rFonts w:hint="eastAsia" w:ascii="仿宋_GB2312" w:hAnsi="仿宋" w:eastAsia="仿宋_GB2312" w:cs="仿宋"/>
                <w:sz w:val="24"/>
                <w:szCs w:val="24"/>
              </w:rPr>
              <w:t>（4）开展中心城区重点基础设施建设测绘；</w:t>
            </w:r>
          </w:p>
          <w:p>
            <w:pPr>
              <w:spacing w:line="340" w:lineRule="exact"/>
              <w:ind w:firstLine="1440" w:firstLineChars="600"/>
              <w:rPr>
                <w:rFonts w:ascii="仿宋_GB2312" w:hAnsi="仿宋" w:eastAsia="仿宋_GB2312" w:cs="仿宋"/>
                <w:sz w:val="24"/>
                <w:szCs w:val="24"/>
              </w:rPr>
            </w:pPr>
            <w:r>
              <w:rPr>
                <w:rFonts w:hint="eastAsia" w:ascii="仿宋_GB2312" w:hAnsi="仿宋" w:eastAsia="仿宋_GB2312" w:cs="仿宋"/>
                <w:sz w:val="24"/>
                <w:szCs w:val="24"/>
              </w:rPr>
              <w:t>（5）开展国土调查监测的测绘。</w:t>
            </w:r>
          </w:p>
          <w:p>
            <w:pPr>
              <w:widowControl/>
              <w:spacing w:line="34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widowControl/>
              <w:spacing w:line="340" w:lineRule="exact"/>
              <w:ind w:firstLine="360" w:firstLineChars="150"/>
              <w:jc w:val="left"/>
              <w:rPr>
                <w:rFonts w:ascii="仿宋" w:hAnsi="仿宋" w:cs="仿宋"/>
                <w:bCs/>
                <w:sz w:val="28"/>
                <w:szCs w:val="28"/>
              </w:rPr>
            </w:pPr>
            <w:r>
              <w:rPr>
                <w:rFonts w:hint="eastAsia" w:ascii="仿宋_GB2312" w:hAnsi="仿宋" w:eastAsia="仿宋_GB2312" w:cs="仿宋"/>
                <w:sz w:val="24"/>
                <w:szCs w:val="24"/>
              </w:rPr>
              <w:t>经费投入：300万元</w:t>
            </w:r>
          </w:p>
        </w:tc>
      </w:tr>
    </w:tbl>
    <w:p>
      <w:pPr>
        <w:pStyle w:val="3"/>
        <w:spacing w:before="0" w:after="0" w:line="520" w:lineRule="exact"/>
        <w:ind w:firstLine="640" w:firstLineChars="200"/>
        <w:rPr>
          <w:rFonts w:ascii="楷体_GB2312" w:eastAsia="楷体_GB2312"/>
          <w:b w:val="0"/>
          <w:bCs/>
          <w:szCs w:val="32"/>
        </w:rPr>
      </w:pPr>
      <w:bookmarkStart w:id="36" w:name="_Toc97647635"/>
    </w:p>
    <w:p>
      <w:pPr>
        <w:pStyle w:val="3"/>
        <w:spacing w:before="0" w:after="0" w:line="520" w:lineRule="exact"/>
        <w:ind w:firstLine="640" w:firstLineChars="200"/>
        <w:rPr>
          <w:rFonts w:ascii="楷体_GB2312" w:eastAsia="楷体_GB2312"/>
          <w:b w:val="0"/>
          <w:bCs/>
          <w:szCs w:val="32"/>
        </w:rPr>
      </w:pPr>
      <w:r>
        <w:rPr>
          <w:rFonts w:hint="eastAsia" w:ascii="楷体_GB2312" w:eastAsia="楷体_GB2312"/>
          <w:b w:val="0"/>
          <w:bCs/>
          <w:szCs w:val="32"/>
        </w:rPr>
        <w:t>（五）</w:t>
      </w:r>
      <w:bookmarkEnd w:id="34"/>
      <w:r>
        <w:rPr>
          <w:rFonts w:hint="eastAsia" w:ascii="楷体_GB2312" w:eastAsia="楷体_GB2312"/>
          <w:b w:val="0"/>
          <w:bCs/>
          <w:szCs w:val="32"/>
        </w:rPr>
        <w:t>服务社会共享发展，加强测绘能力建设</w:t>
      </w:r>
      <w:bookmarkEnd w:id="36"/>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随着经济社会对于测绘成果的需求越来越旺盛，基础测绘作为基础性、公益性事业，其成果也应该由全社会共享，促进基础测绘成果在各行各业的广泛应用。在新形势下，按照测绘行业的发展趋势，基础测绘成果的共享应用显得尤为重要。市本级要完成以下工作：</w:t>
      </w:r>
    </w:p>
    <w:p>
      <w:pPr>
        <w:spacing w:line="52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应急测绘保障能力建设。“十四五”期间，计划编制《赤峰市应急测绘预案》，明确平战结合思路，建立部门联动工作机制，从装备、技术、人员、机制各方面着手全面提升应急测绘保障服务能力，努力实现测绘应急管理制度化、测绘应急保障预案流程化，为突发灾害处置决策提供科学依据，提升灾害应对能力。</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益性地图服务。以地图特有的表现形式，助力我市文化建设。构建多样化的公共地图产品体系，创新地图产品的形式和服务方式，不断丰富我市综合图集，自然资源图集、领导工作用图、红山文化、契丹文化、交通等专题系列地图集，为自治区文化建设、旅游发展以及社会公众提供准确、便捷、及时的公共地图与公共信息服务。</w:t>
      </w:r>
    </w:p>
    <w:p>
      <w:pPr>
        <w:spacing w:line="560" w:lineRule="exact"/>
        <w:ind w:firstLine="420" w:firstLineChars="200"/>
        <w:rPr>
          <w:rFonts w:ascii="仿宋_GB2312" w:hAnsi="仿宋_GB2312" w:eastAsia="仿宋_GB2312" w:cs="仿宋_GB2312"/>
          <w:bCs/>
          <w:szCs w:val="32"/>
        </w:rPr>
      </w:pP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shd w:val="clear" w:color="auto" w:fill="auto"/>
            <w:noWrap w:val="0"/>
            <w:vAlign w:val="top"/>
          </w:tcPr>
          <w:p>
            <w:pPr>
              <w:widowControl/>
              <w:spacing w:line="360" w:lineRule="exact"/>
              <w:jc w:val="center"/>
              <w:rPr>
                <w:rFonts w:ascii="黑体" w:hAnsi="黑体" w:eastAsia="黑体" w:cs="仿宋"/>
                <w:bCs/>
                <w:szCs w:val="32"/>
              </w:rPr>
            </w:pPr>
            <w:r>
              <w:rPr>
                <w:rFonts w:hint="eastAsia" w:ascii="黑体" w:hAnsi="黑体" w:eastAsia="黑体" w:cs="仿宋"/>
                <w:sz w:val="24"/>
                <w:szCs w:val="32"/>
              </w:rPr>
              <w:t>专栏六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jc w:val="center"/>
        </w:trPr>
        <w:tc>
          <w:tcPr>
            <w:tcW w:w="8522" w:type="dxa"/>
            <w:shd w:val="clear" w:color="auto" w:fill="auto"/>
            <w:noWrap w:val="0"/>
            <w:vAlign w:val="top"/>
          </w:tcPr>
          <w:p>
            <w:pPr>
              <w:spacing w:line="340" w:lineRule="exact"/>
              <w:ind w:firstLine="360" w:firstLineChars="150"/>
              <w:rPr>
                <w:rFonts w:ascii="仿宋_GB2312" w:hAnsi="仿宋" w:eastAsia="仿宋_GB2312" w:cs="仿宋"/>
                <w:sz w:val="24"/>
                <w:szCs w:val="24"/>
              </w:rPr>
            </w:pPr>
            <w:r>
              <w:rPr>
                <w:rFonts w:hint="eastAsia" w:ascii="仿宋_GB2312" w:hAnsi="仿宋" w:eastAsia="仿宋_GB2312" w:cs="仿宋"/>
                <w:sz w:val="24"/>
                <w:szCs w:val="24"/>
              </w:rPr>
              <w:t>项目名称：应急测绘保障能力建设</w:t>
            </w:r>
          </w:p>
          <w:p>
            <w:pPr>
              <w:spacing w:line="340" w:lineRule="exact"/>
              <w:ind w:firstLine="360" w:firstLineChars="150"/>
              <w:rPr>
                <w:rFonts w:ascii="仿宋_GB2312" w:hAnsi="仿宋" w:eastAsia="仿宋_GB2312" w:cs="仿宋"/>
                <w:sz w:val="24"/>
                <w:szCs w:val="24"/>
              </w:rPr>
            </w:pPr>
            <w:r>
              <w:rPr>
                <w:rFonts w:hint="eastAsia" w:ascii="仿宋_GB2312" w:hAnsi="仿宋" w:eastAsia="仿宋_GB2312" w:cs="仿宋"/>
                <w:sz w:val="24"/>
                <w:szCs w:val="24"/>
              </w:rPr>
              <w:t>建设内容：（1）应急测绘保障能力建设、装备购置与演练；</w:t>
            </w:r>
          </w:p>
          <w:p>
            <w:pPr>
              <w:spacing w:line="340" w:lineRule="exact"/>
              <w:ind w:firstLine="1440" w:firstLineChars="600"/>
              <w:rPr>
                <w:rFonts w:ascii="仿宋_GB2312" w:hAnsi="仿宋" w:eastAsia="仿宋_GB2312" w:cs="仿宋"/>
                <w:sz w:val="24"/>
                <w:szCs w:val="24"/>
              </w:rPr>
            </w:pPr>
            <w:r>
              <w:rPr>
                <w:rFonts w:hint="eastAsia" w:ascii="仿宋_GB2312" w:hAnsi="仿宋" w:eastAsia="仿宋_GB2312" w:cs="仿宋"/>
                <w:sz w:val="24"/>
                <w:szCs w:val="24"/>
              </w:rPr>
              <w:t>（2）地图助力文化建设。</w:t>
            </w:r>
          </w:p>
          <w:p>
            <w:pPr>
              <w:widowControl/>
              <w:spacing w:line="340" w:lineRule="exact"/>
              <w:ind w:firstLine="360" w:firstLineChars="150"/>
              <w:jc w:val="left"/>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widowControl/>
              <w:spacing w:line="340" w:lineRule="exact"/>
              <w:ind w:firstLine="360" w:firstLineChars="150"/>
              <w:jc w:val="left"/>
              <w:rPr>
                <w:rFonts w:ascii="仿宋" w:hAnsi="仿宋" w:cs="仿宋"/>
                <w:bCs/>
                <w:sz w:val="28"/>
                <w:szCs w:val="28"/>
              </w:rPr>
            </w:pPr>
            <w:r>
              <w:rPr>
                <w:rFonts w:hint="eastAsia" w:ascii="仿宋_GB2312" w:hAnsi="仿宋" w:eastAsia="仿宋_GB2312" w:cs="仿宋"/>
                <w:sz w:val="24"/>
                <w:szCs w:val="24"/>
              </w:rPr>
              <w:t>经费投入：200万元</w:t>
            </w:r>
          </w:p>
        </w:tc>
      </w:tr>
    </w:tbl>
    <w:p>
      <w:pPr>
        <w:spacing w:line="520" w:lineRule="exact"/>
        <w:ind w:firstLine="420" w:firstLineChars="200"/>
        <w:rPr>
          <w:rFonts w:ascii="仿宋_GB2312" w:hAnsi="仿宋_GB2312" w:eastAsia="仿宋_GB2312" w:cs="仿宋_GB2312"/>
          <w:szCs w:val="32"/>
          <w:highlight w:val="yellow"/>
        </w:rPr>
      </w:pP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测绘地理信息能力建设，加快构建高端地理信息人才库。构建与新技术、新业务、新能力相适应的基础测绘队伍新体系，大数据、云平台、人工智能等技术在测绘中的应用都需要科技支撑，丰富共享地理信息数据，更需要高精尖人才做科研，依托测绘企事业单位的技术支撑，培养各类高技术人才、专业管理人才和高技能人才。落实人才激励政策，保障人才发挥作用，引导广大测绘地理信息人才爱岗、敬业，成为我市测绘地理信息事业的核心技术力量。加强装备建设，购置先进测绘软硬件、安全网络设备等，提升现代化装备水平。</w:t>
      </w:r>
    </w:p>
    <w:p>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——卫星遥感应用能力建设。建立卫星遥感应用技术中心，与自治区卫星应用中心形成连接，开展卫星遥感影像定期获取、处理与建库工作，实现卫星遥感影像的快速处理与服务。</w:t>
      </w:r>
    </w:p>
    <w:p>
      <w:pPr>
        <w:spacing w:line="560" w:lineRule="exact"/>
        <w:ind w:firstLine="420" w:firstLineChars="200"/>
        <w:rPr>
          <w:rFonts w:hint="eastAsia" w:ascii="仿宋_GB2312" w:hAnsi="仿宋_GB2312" w:eastAsia="仿宋_GB2312" w:cs="仿宋_GB2312"/>
          <w:szCs w:val="32"/>
        </w:rPr>
      </w:pPr>
    </w:p>
    <w:tbl>
      <w:tblPr>
        <w:tblStyle w:val="7"/>
        <w:tblW w:w="8363"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3" w:type="dxa"/>
            <w:shd w:val="clear" w:color="auto" w:fill="auto"/>
            <w:noWrap w:val="0"/>
            <w:vAlign w:val="top"/>
          </w:tcPr>
          <w:p>
            <w:pPr>
              <w:widowControl/>
              <w:spacing w:line="360" w:lineRule="exact"/>
              <w:jc w:val="center"/>
              <w:rPr>
                <w:rFonts w:ascii="黑体" w:hAnsi="黑体" w:eastAsia="黑体" w:cs="仿宋"/>
                <w:bCs/>
                <w:szCs w:val="32"/>
              </w:rPr>
            </w:pPr>
            <w:r>
              <w:rPr>
                <w:rFonts w:hint="eastAsia" w:ascii="黑体" w:hAnsi="黑体" w:eastAsia="黑体" w:cs="仿宋"/>
                <w:sz w:val="24"/>
                <w:szCs w:val="32"/>
              </w:rPr>
              <w:t>专栏七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8363" w:type="dxa"/>
            <w:shd w:val="clear" w:color="auto" w:fill="auto"/>
            <w:noWrap w:val="0"/>
            <w:vAlign w:val="top"/>
          </w:tcPr>
          <w:p>
            <w:pPr>
              <w:spacing w:line="340" w:lineRule="exact"/>
              <w:ind w:left="1437" w:leftChars="113" w:hanging="1200" w:hangingChars="500"/>
              <w:rPr>
                <w:rFonts w:ascii="仿宋_GB2312" w:hAnsi="仿宋" w:eastAsia="仿宋_GB2312" w:cs="仿宋"/>
                <w:sz w:val="24"/>
                <w:szCs w:val="24"/>
              </w:rPr>
            </w:pPr>
            <w:r>
              <w:rPr>
                <w:rFonts w:hint="eastAsia" w:ascii="仿宋_GB2312" w:hAnsi="仿宋" w:eastAsia="仿宋_GB2312" w:cs="仿宋"/>
                <w:sz w:val="24"/>
                <w:szCs w:val="24"/>
              </w:rPr>
              <w:t>项目名称：测绘科技创新能力建设</w:t>
            </w:r>
          </w:p>
          <w:p>
            <w:pPr>
              <w:spacing w:line="340" w:lineRule="exact"/>
              <w:ind w:left="1437" w:leftChars="113" w:hanging="1200" w:hangingChars="500"/>
              <w:rPr>
                <w:rFonts w:ascii="仿宋_GB2312" w:hAnsi="仿宋" w:eastAsia="仿宋_GB2312" w:cs="仿宋"/>
                <w:sz w:val="24"/>
                <w:szCs w:val="24"/>
              </w:rPr>
            </w:pPr>
            <w:r>
              <w:rPr>
                <w:rFonts w:hint="eastAsia" w:ascii="仿宋_GB2312" w:hAnsi="仿宋" w:eastAsia="仿宋_GB2312" w:cs="仿宋"/>
                <w:sz w:val="24"/>
                <w:szCs w:val="24"/>
              </w:rPr>
              <w:t>建设内容：（1）购置先进测绘软件、安全网络设备、人才培养等；</w:t>
            </w:r>
          </w:p>
          <w:p>
            <w:pPr>
              <w:spacing w:line="340" w:lineRule="exact"/>
              <w:ind w:left="1437" w:leftChars="113" w:hanging="1200" w:hangingChars="500"/>
              <w:rPr>
                <w:rFonts w:ascii="仿宋_GB2312" w:hAnsi="仿宋" w:eastAsia="仿宋_GB2312" w:cs="仿宋"/>
                <w:sz w:val="24"/>
                <w:szCs w:val="24"/>
              </w:rPr>
            </w:pPr>
            <w:r>
              <w:rPr>
                <w:rFonts w:hint="eastAsia" w:ascii="仿宋_GB2312" w:hAnsi="仿宋" w:eastAsia="仿宋_GB2312" w:cs="仿宋"/>
                <w:sz w:val="24"/>
                <w:szCs w:val="24"/>
              </w:rPr>
              <w:t xml:space="preserve">         （2）卫星遥感应用能力建设。</w:t>
            </w:r>
          </w:p>
          <w:p>
            <w:pPr>
              <w:spacing w:line="340" w:lineRule="exact"/>
              <w:ind w:left="1437" w:leftChars="113" w:hanging="1200" w:hangingChars="500"/>
              <w:rPr>
                <w:rFonts w:ascii="仿宋_GB2312" w:hAnsi="仿宋" w:eastAsia="仿宋_GB2312" w:cs="仿宋"/>
                <w:sz w:val="24"/>
                <w:szCs w:val="24"/>
              </w:rPr>
            </w:pPr>
            <w:r>
              <w:rPr>
                <w:rFonts w:hint="eastAsia" w:ascii="仿宋_GB2312" w:hAnsi="仿宋" w:eastAsia="仿宋_GB2312" w:cs="仿宋"/>
                <w:sz w:val="24"/>
                <w:szCs w:val="24"/>
              </w:rPr>
              <w:t>建设周期：2021—2025年</w:t>
            </w:r>
          </w:p>
          <w:p>
            <w:pPr>
              <w:spacing w:line="340" w:lineRule="exact"/>
              <w:ind w:left="1437" w:leftChars="113" w:hanging="1200" w:hangingChars="500"/>
              <w:rPr>
                <w:rFonts w:ascii="仿宋" w:hAnsi="仿宋" w:cs="仿宋"/>
                <w:bCs/>
                <w:sz w:val="28"/>
                <w:szCs w:val="28"/>
              </w:rPr>
            </w:pPr>
            <w:r>
              <w:rPr>
                <w:rFonts w:hint="eastAsia" w:ascii="仿宋_GB2312" w:hAnsi="仿宋" w:eastAsia="仿宋_GB2312" w:cs="仿宋"/>
                <w:sz w:val="24"/>
                <w:szCs w:val="24"/>
              </w:rPr>
              <w:t>经费投入：250万元</w:t>
            </w:r>
          </w:p>
        </w:tc>
      </w:tr>
    </w:tbl>
    <w:p>
      <w:pPr>
        <w:spacing w:line="600" w:lineRule="exact"/>
        <w:jc w:val="center"/>
        <w:rPr>
          <w:rFonts w:ascii="方正小标宋简体" w:eastAsia="方正小标宋简体"/>
          <w:szCs w:val="32"/>
        </w:rPr>
      </w:pPr>
      <w:bookmarkStart w:id="37" w:name="_Toc341944487"/>
      <w:bookmarkStart w:id="38" w:name="_Toc28491"/>
      <w:bookmarkStart w:id="39" w:name="_Toc11498"/>
    </w:p>
    <w:p>
      <w:pPr>
        <w:spacing w:line="600" w:lineRule="exact"/>
        <w:jc w:val="center"/>
        <w:rPr>
          <w:rFonts w:ascii="方正小标宋简体" w:eastAsia="方正小标宋简体"/>
          <w:sz w:val="32"/>
          <w:szCs w:val="32"/>
        </w:rPr>
      </w:pPr>
      <w:r>
        <w:rPr>
          <w:rFonts w:hint="eastAsia" w:ascii="方正小标宋简体" w:eastAsia="方正小标宋简体"/>
          <w:sz w:val="32"/>
          <w:szCs w:val="32"/>
        </w:rPr>
        <w:t>“十四五”基础测绘规划主要任务指标</w:t>
      </w:r>
    </w:p>
    <w:tbl>
      <w:tblPr>
        <w:tblStyle w:val="7"/>
        <w:tblpPr w:leftFromText="180" w:rightFromText="180" w:vertAnchor="text" w:horzAnchor="margin" w:tblpXSpec="center" w:tblpY="306"/>
        <w:tblOverlap w:val="never"/>
        <w:tblW w:w="8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524"/>
        <w:gridCol w:w="1715"/>
        <w:gridCol w:w="1595"/>
        <w:gridCol w:w="1708"/>
        <w:gridCol w:w="1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725" w:type="dxa"/>
            <w:shd w:val="clear" w:color="auto" w:fill="auto"/>
            <w:noWrap w:val="0"/>
            <w:vAlign w:val="center"/>
          </w:tcPr>
          <w:p>
            <w:pPr>
              <w:spacing w:line="400" w:lineRule="exact"/>
              <w:jc w:val="center"/>
              <w:rPr>
                <w:rFonts w:ascii="黑体" w:hAnsi="黑体" w:eastAsia="黑体"/>
                <w:sz w:val="24"/>
                <w:szCs w:val="24"/>
              </w:rPr>
            </w:pPr>
            <w:r>
              <w:rPr>
                <w:rFonts w:hint="eastAsia" w:ascii="黑体" w:hAnsi="黑体" w:eastAsia="黑体"/>
                <w:sz w:val="24"/>
                <w:szCs w:val="24"/>
              </w:rPr>
              <w:t>序号</w:t>
            </w:r>
          </w:p>
        </w:tc>
        <w:tc>
          <w:tcPr>
            <w:tcW w:w="1524" w:type="dxa"/>
            <w:shd w:val="clear" w:color="auto" w:fill="auto"/>
            <w:noWrap w:val="0"/>
            <w:vAlign w:val="center"/>
          </w:tcPr>
          <w:p>
            <w:pPr>
              <w:spacing w:line="400" w:lineRule="exact"/>
              <w:jc w:val="center"/>
              <w:rPr>
                <w:rFonts w:ascii="黑体" w:hAnsi="黑体" w:eastAsia="黑体"/>
                <w:sz w:val="24"/>
                <w:szCs w:val="24"/>
              </w:rPr>
            </w:pPr>
            <w:r>
              <w:rPr>
                <w:rFonts w:hint="eastAsia" w:ascii="黑体" w:hAnsi="黑体" w:eastAsia="黑体"/>
                <w:sz w:val="24"/>
                <w:szCs w:val="24"/>
              </w:rPr>
              <w:t>项目</w:t>
            </w:r>
          </w:p>
        </w:tc>
        <w:tc>
          <w:tcPr>
            <w:tcW w:w="1715" w:type="dxa"/>
            <w:shd w:val="clear" w:color="auto" w:fill="auto"/>
            <w:noWrap w:val="0"/>
            <w:vAlign w:val="center"/>
          </w:tcPr>
          <w:p>
            <w:pPr>
              <w:spacing w:line="400" w:lineRule="exact"/>
              <w:jc w:val="center"/>
              <w:rPr>
                <w:rFonts w:ascii="黑体" w:hAnsi="黑体" w:eastAsia="黑体"/>
                <w:sz w:val="24"/>
                <w:szCs w:val="24"/>
              </w:rPr>
            </w:pPr>
            <w:r>
              <w:rPr>
                <w:rFonts w:hint="eastAsia" w:ascii="黑体" w:hAnsi="黑体" w:eastAsia="黑体"/>
                <w:sz w:val="24"/>
                <w:szCs w:val="24"/>
              </w:rPr>
              <w:t>指标名称</w:t>
            </w:r>
          </w:p>
        </w:tc>
        <w:tc>
          <w:tcPr>
            <w:tcW w:w="1595" w:type="dxa"/>
            <w:shd w:val="clear" w:color="auto" w:fill="auto"/>
            <w:noWrap w:val="0"/>
            <w:vAlign w:val="center"/>
          </w:tcPr>
          <w:p>
            <w:pPr>
              <w:spacing w:line="400" w:lineRule="exact"/>
              <w:jc w:val="center"/>
              <w:rPr>
                <w:rFonts w:ascii="黑体" w:hAnsi="黑体" w:eastAsia="黑体"/>
                <w:sz w:val="24"/>
                <w:szCs w:val="24"/>
              </w:rPr>
            </w:pPr>
            <w:r>
              <w:rPr>
                <w:rFonts w:hint="eastAsia" w:ascii="黑体" w:hAnsi="黑体" w:eastAsia="黑体"/>
                <w:sz w:val="24"/>
                <w:szCs w:val="24"/>
              </w:rPr>
              <w:t>现有成果</w:t>
            </w:r>
          </w:p>
        </w:tc>
        <w:tc>
          <w:tcPr>
            <w:tcW w:w="1708" w:type="dxa"/>
            <w:shd w:val="clear" w:color="auto" w:fill="auto"/>
            <w:noWrap w:val="0"/>
            <w:vAlign w:val="center"/>
          </w:tcPr>
          <w:p>
            <w:pPr>
              <w:spacing w:line="400" w:lineRule="exact"/>
              <w:jc w:val="center"/>
              <w:rPr>
                <w:rFonts w:ascii="黑体" w:hAnsi="黑体" w:eastAsia="黑体"/>
                <w:sz w:val="24"/>
                <w:szCs w:val="24"/>
              </w:rPr>
            </w:pPr>
            <w:r>
              <w:rPr>
                <w:rFonts w:hint="eastAsia" w:ascii="黑体" w:hAnsi="黑体" w:eastAsia="黑体"/>
                <w:sz w:val="24"/>
                <w:szCs w:val="24"/>
              </w:rPr>
              <w:t>2025年</w:t>
            </w:r>
          </w:p>
        </w:tc>
        <w:tc>
          <w:tcPr>
            <w:tcW w:w="1091" w:type="dxa"/>
            <w:shd w:val="clear" w:color="auto" w:fill="auto"/>
            <w:noWrap w:val="0"/>
            <w:vAlign w:val="center"/>
          </w:tcPr>
          <w:p>
            <w:pPr>
              <w:spacing w:line="400" w:lineRule="exact"/>
              <w:jc w:val="center"/>
              <w:rPr>
                <w:rFonts w:ascii="黑体" w:hAnsi="黑体" w:eastAsia="黑体"/>
                <w:sz w:val="24"/>
                <w:szCs w:val="24"/>
              </w:rPr>
            </w:pPr>
            <w:r>
              <w:rPr>
                <w:rFonts w:hint="eastAsia" w:ascii="黑体" w:hAnsi="黑体" w:eastAsia="黑体"/>
                <w:sz w:val="24"/>
                <w:szCs w:val="24"/>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w:t>
            </w:r>
          </w:p>
        </w:tc>
        <w:tc>
          <w:tcPr>
            <w:tcW w:w="1524" w:type="dxa"/>
            <w:vMerge w:val="restart"/>
            <w:shd w:val="clear" w:color="auto" w:fill="auto"/>
            <w:noWrap w:val="0"/>
            <w:vAlign w:val="center"/>
          </w:tcPr>
          <w:p>
            <w:pPr>
              <w:spacing w:line="360" w:lineRule="exact"/>
              <w:jc w:val="center"/>
              <w:rPr>
                <w:rFonts w:ascii="仿宋_GB2312" w:hAnsi="仿宋" w:eastAsia="仿宋_GB2312" w:cs="仿宋"/>
                <w:sz w:val="24"/>
                <w:szCs w:val="24"/>
              </w:rPr>
            </w:pPr>
            <w:r>
              <w:rPr>
                <w:rFonts w:hint="eastAsia" w:ascii="仿宋_GB2312" w:hAnsi="仿宋" w:eastAsia="仿宋_GB2312" w:cs="仿宋"/>
                <w:sz w:val="24"/>
                <w:szCs w:val="24"/>
              </w:rPr>
              <w:t>现代测绘基准体系建设</w:t>
            </w: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ascii="仿宋_GB2312" w:hAnsi="仿宋" w:eastAsia="仿宋_GB2312" w:cs="仿宋"/>
                <w:sz w:val="24"/>
                <w:szCs w:val="24"/>
              </w:rPr>
              <w:t>2000</w:t>
            </w:r>
            <w:r>
              <w:rPr>
                <w:rFonts w:hint="eastAsia" w:ascii="仿宋_GB2312" w:hAnsi="仿宋" w:eastAsia="仿宋_GB2312" w:cs="仿宋"/>
                <w:sz w:val="24"/>
                <w:szCs w:val="24"/>
              </w:rPr>
              <w:t>相对独立平面坐标系统</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300平方</w:t>
            </w:r>
            <w:r>
              <w:rPr>
                <w:rFonts w:hint="eastAsia" w:ascii="仿宋_GB2312" w:hAnsi="Times New Roman" w:eastAsia="仿宋_GB2312"/>
                <w:sz w:val="24"/>
                <w:szCs w:val="24"/>
              </w:rPr>
              <w:t>千米精度5厘米</w:t>
            </w:r>
          </w:p>
        </w:tc>
        <w:tc>
          <w:tcPr>
            <w:tcW w:w="1708"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Times New Roman" w:eastAsia="仿宋_GB2312"/>
                <w:sz w:val="24"/>
                <w:szCs w:val="24"/>
              </w:rPr>
              <w:t>中心城区</w:t>
            </w:r>
            <w:r>
              <w:rPr>
                <w:rFonts w:hint="eastAsia" w:ascii="仿宋_GB2312" w:hAnsi="仿宋" w:eastAsia="仿宋_GB2312" w:cs="仿宋"/>
                <w:sz w:val="24"/>
                <w:szCs w:val="24"/>
              </w:rPr>
              <w:t>300平方千米精度优于3厘米</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2</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中心城区域高精度似大地水准面精化</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300平方千米高程精度5厘米</w:t>
            </w:r>
          </w:p>
        </w:tc>
        <w:tc>
          <w:tcPr>
            <w:tcW w:w="1708"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300平方千米精度1厘米</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3</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GNSS D级点测绘</w:t>
            </w:r>
          </w:p>
        </w:tc>
        <w:tc>
          <w:tcPr>
            <w:tcW w:w="159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100点</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4</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四等水准测量</w:t>
            </w:r>
          </w:p>
        </w:tc>
        <w:tc>
          <w:tcPr>
            <w:tcW w:w="1595" w:type="dxa"/>
            <w:shd w:val="clear" w:color="auto" w:fill="auto"/>
            <w:noWrap w:val="0"/>
            <w:vAlign w:val="center"/>
          </w:tcPr>
          <w:p>
            <w:pPr>
              <w:spacing w:line="360" w:lineRule="exact"/>
              <w:jc w:val="left"/>
              <w:rPr>
                <w:rFonts w:ascii="仿宋_GB2312" w:hAnsi="Times New Roman" w:eastAsia="仿宋_GB2312"/>
                <w:sz w:val="24"/>
                <w:szCs w:val="24"/>
                <w:highlight w:val="yellow"/>
              </w:rPr>
            </w:pPr>
            <w:r>
              <w:rPr>
                <w:rFonts w:hint="eastAsia" w:ascii="仿宋_GB2312" w:hAnsi="仿宋" w:eastAsia="仿宋_GB2312" w:cs="仿宋"/>
                <w:sz w:val="24"/>
                <w:szCs w:val="24"/>
              </w:rPr>
              <w:t>—</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200千米</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5</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测量标志维护</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40点</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120点</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6</w:t>
            </w:r>
          </w:p>
        </w:tc>
        <w:tc>
          <w:tcPr>
            <w:tcW w:w="1524" w:type="dxa"/>
            <w:vMerge w:val="restart"/>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仿宋" w:eastAsia="仿宋_GB2312" w:cs="仿宋"/>
                <w:sz w:val="24"/>
                <w:szCs w:val="24"/>
              </w:rPr>
              <w:t>基础数据建设</w:t>
            </w: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基本比例尺</w:t>
            </w:r>
          </w:p>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地形图测绘</w:t>
            </w:r>
          </w:p>
        </w:tc>
        <w:tc>
          <w:tcPr>
            <w:tcW w:w="159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186平方千米1:1000比例尺地形图</w:t>
            </w:r>
          </w:p>
        </w:tc>
        <w:tc>
          <w:tcPr>
            <w:tcW w:w="1708"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500平方千米</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9"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7</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分辨率优于5厘米遥感影像数据</w:t>
            </w:r>
            <w:r>
              <w:rPr>
                <w:rFonts w:hint="eastAsia" w:ascii="仿宋_GB2312" w:hAnsi="Times New Roman" w:eastAsia="仿宋_GB2312"/>
                <w:sz w:val="24"/>
                <w:szCs w:val="24"/>
              </w:rPr>
              <w:t>获取</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800</w:t>
            </w:r>
            <w:r>
              <w:rPr>
                <w:rFonts w:hint="eastAsia" w:ascii="仿宋_GB2312" w:hAnsi="仿宋" w:eastAsia="仿宋_GB2312" w:cs="仿宋"/>
                <w:sz w:val="24"/>
                <w:szCs w:val="24"/>
              </w:rPr>
              <w:t>平方千米1米级</w:t>
            </w:r>
            <w:r>
              <w:rPr>
                <w:rFonts w:hint="eastAsia" w:ascii="仿宋_GB2312" w:hAnsi="Times New Roman" w:eastAsia="仿宋_GB2312"/>
                <w:sz w:val="24"/>
                <w:szCs w:val="24"/>
              </w:rPr>
              <w:t>低分辨率</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1000</w:t>
            </w:r>
            <w:r>
              <w:rPr>
                <w:rFonts w:hint="eastAsia" w:ascii="仿宋_GB2312" w:hAnsi="仿宋" w:eastAsia="仿宋_GB2312" w:cs="仿宋"/>
                <w:sz w:val="24"/>
                <w:szCs w:val="24"/>
              </w:rPr>
              <w:t>平方千米分辨率优于5厘米遥感影像数据</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8</w:t>
            </w:r>
          </w:p>
        </w:tc>
        <w:tc>
          <w:tcPr>
            <w:tcW w:w="1524" w:type="dxa"/>
            <w:vMerge w:val="continue"/>
            <w:shd w:val="clear" w:color="auto" w:fill="auto"/>
            <w:noWrap w:val="0"/>
            <w:vAlign w:val="center"/>
          </w:tcPr>
          <w:p>
            <w:pPr>
              <w:spacing w:line="360" w:lineRule="exact"/>
              <w:jc w:val="center"/>
              <w:rPr>
                <w:rFonts w:ascii="仿宋_GB2312" w:hAnsi="仿宋" w:eastAsia="仿宋_GB2312" w:cs="仿宋"/>
                <w:sz w:val="24"/>
                <w:szCs w:val="24"/>
              </w:rPr>
            </w:pP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地理信息系统</w:t>
            </w:r>
          </w:p>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建设</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数字赤峰系统</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完善且每年更新</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9</w:t>
            </w:r>
          </w:p>
        </w:tc>
        <w:tc>
          <w:tcPr>
            <w:tcW w:w="1524" w:type="dxa"/>
            <w:vMerge w:val="restart"/>
            <w:shd w:val="clear" w:color="auto" w:fill="auto"/>
            <w:noWrap w:val="0"/>
            <w:vAlign w:val="center"/>
          </w:tcPr>
          <w:p>
            <w:pPr>
              <w:spacing w:line="360" w:lineRule="exact"/>
              <w:jc w:val="center"/>
              <w:rPr>
                <w:rFonts w:ascii="仿宋_GB2312" w:hAnsi="仿宋" w:eastAsia="仿宋_GB2312" w:cs="仿宋"/>
                <w:sz w:val="24"/>
                <w:szCs w:val="24"/>
              </w:rPr>
            </w:pPr>
            <w:r>
              <w:rPr>
                <w:rFonts w:hint="eastAsia" w:ascii="仿宋_GB2312" w:hAnsi="仿宋" w:eastAsia="仿宋_GB2312" w:cs="仿宋"/>
                <w:sz w:val="24"/>
                <w:szCs w:val="24"/>
              </w:rPr>
              <w:t>自然资源“一张图”建设</w:t>
            </w: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地理信息公共</w:t>
            </w:r>
          </w:p>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服务平台（天地图</w:t>
            </w:r>
            <w:r>
              <w:rPr>
                <w:rFonts w:hint="eastAsia" w:ascii="微软雅黑" w:hAnsi="微软雅黑" w:eastAsia="微软雅黑" w:cs="微软雅黑"/>
                <w:sz w:val="24"/>
                <w:szCs w:val="24"/>
              </w:rPr>
              <w:t>•</w:t>
            </w:r>
            <w:r>
              <w:rPr>
                <w:rFonts w:hint="eastAsia" w:ascii="仿宋_GB2312" w:hAnsi="仿宋" w:eastAsia="仿宋_GB2312" w:cs="仿宋"/>
                <w:sz w:val="24"/>
                <w:szCs w:val="24"/>
              </w:rPr>
              <w:t>赤峰）建设</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1:10000比例尺9万</w:t>
            </w:r>
            <w:r>
              <w:rPr>
                <w:rFonts w:hint="eastAsia" w:ascii="仿宋_GB2312" w:hAnsi="仿宋" w:eastAsia="仿宋_GB2312" w:cs="仿宋"/>
                <w:sz w:val="24"/>
                <w:szCs w:val="24"/>
              </w:rPr>
              <w:t>平方千米</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各类数据融合9万</w:t>
            </w:r>
            <w:r>
              <w:rPr>
                <w:rFonts w:hint="eastAsia" w:ascii="仿宋_GB2312" w:hAnsi="仿宋" w:eastAsia="仿宋_GB2312" w:cs="仿宋"/>
                <w:sz w:val="24"/>
                <w:szCs w:val="24"/>
              </w:rPr>
              <w:t>平方千米</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10</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实景三维</w:t>
            </w:r>
            <w:r>
              <w:rPr>
                <w:rFonts w:hint="eastAsia" w:ascii="仿宋_GB2312" w:hAnsi="Times New Roman" w:eastAsia="仿宋_GB2312"/>
                <w:sz w:val="24"/>
                <w:szCs w:val="24"/>
              </w:rPr>
              <w:t>亚米格网高程模型（</w:t>
            </w:r>
            <w:r>
              <w:rPr>
                <w:rFonts w:hint="eastAsia" w:ascii="仿宋_GB2312" w:hAnsi="仿宋" w:eastAsia="仿宋_GB2312" w:cs="仿宋"/>
                <w:sz w:val="24"/>
                <w:szCs w:val="24"/>
              </w:rPr>
              <w:t>平方千米</w:t>
            </w:r>
            <w:r>
              <w:rPr>
                <w:rFonts w:hint="eastAsia" w:ascii="仿宋_GB2312" w:hAnsi="Times New Roman" w:eastAsia="仿宋_GB2312"/>
                <w:sz w:val="24"/>
                <w:szCs w:val="24"/>
              </w:rPr>
              <w:t>）三维模型（</w:t>
            </w:r>
            <w:r>
              <w:rPr>
                <w:rFonts w:hint="eastAsia" w:ascii="仿宋_GB2312" w:hAnsi="仿宋" w:eastAsia="仿宋_GB2312" w:cs="仿宋"/>
                <w:sz w:val="24"/>
                <w:szCs w:val="24"/>
              </w:rPr>
              <w:t>平方千米</w:t>
            </w:r>
            <w:r>
              <w:rPr>
                <w:rFonts w:hint="eastAsia" w:ascii="仿宋_GB2312" w:hAnsi="Times New Roman" w:eastAsia="仿宋_GB2312"/>
                <w:sz w:val="24"/>
                <w:szCs w:val="24"/>
              </w:rPr>
              <w:t>）</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无</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中心城区100</w:t>
            </w:r>
            <w:r>
              <w:rPr>
                <w:rFonts w:hint="eastAsia" w:ascii="仿宋_GB2312" w:hAnsi="仿宋" w:eastAsia="仿宋_GB2312" w:cs="仿宋"/>
                <w:sz w:val="24"/>
                <w:szCs w:val="24"/>
              </w:rPr>
              <w:t>平方千米，外围700平方千米</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11</w:t>
            </w:r>
          </w:p>
        </w:tc>
        <w:tc>
          <w:tcPr>
            <w:tcW w:w="1524"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重点项目</w:t>
            </w:r>
          </w:p>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保障服务</w:t>
            </w: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测绘地理信息保障服务</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开展重点水域、旅游区、市政建设等项目测绘</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按需支撑</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12</w:t>
            </w:r>
          </w:p>
        </w:tc>
        <w:tc>
          <w:tcPr>
            <w:tcW w:w="1524" w:type="dxa"/>
            <w:vMerge w:val="restart"/>
            <w:shd w:val="clear" w:color="auto" w:fill="auto"/>
            <w:noWrap w:val="0"/>
            <w:vAlign w:val="center"/>
          </w:tcPr>
          <w:p>
            <w:pPr>
              <w:spacing w:line="360" w:lineRule="exact"/>
              <w:jc w:val="center"/>
              <w:rPr>
                <w:rFonts w:ascii="仿宋_GB2312" w:hAnsi="仿宋" w:eastAsia="仿宋_GB2312" w:cs="仿宋"/>
                <w:sz w:val="24"/>
                <w:szCs w:val="24"/>
              </w:rPr>
            </w:pPr>
            <w:r>
              <w:rPr>
                <w:rFonts w:hint="eastAsia" w:ascii="仿宋_GB2312" w:hAnsi="仿宋" w:eastAsia="仿宋_GB2312" w:cs="仿宋"/>
                <w:sz w:val="24"/>
                <w:szCs w:val="24"/>
              </w:rPr>
              <w:t>测绘能力</w:t>
            </w:r>
          </w:p>
          <w:p>
            <w:pPr>
              <w:spacing w:line="360" w:lineRule="exact"/>
              <w:jc w:val="center"/>
              <w:rPr>
                <w:rFonts w:ascii="仿宋_GB2312" w:hAnsi="仿宋" w:eastAsia="仿宋_GB2312" w:cs="仿宋"/>
                <w:sz w:val="24"/>
                <w:szCs w:val="24"/>
              </w:rPr>
            </w:pPr>
            <w:r>
              <w:rPr>
                <w:rFonts w:hint="eastAsia" w:ascii="仿宋_GB2312" w:hAnsi="仿宋" w:eastAsia="仿宋_GB2312" w:cs="仿宋"/>
                <w:sz w:val="24"/>
                <w:szCs w:val="24"/>
              </w:rPr>
              <w:t>建设</w:t>
            </w: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测绘应急</w:t>
            </w:r>
          </w:p>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保障能力建设</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无</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系统维护应急演练每年开展</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13</w:t>
            </w:r>
          </w:p>
        </w:tc>
        <w:tc>
          <w:tcPr>
            <w:tcW w:w="1524" w:type="dxa"/>
            <w:vMerge w:val="continue"/>
            <w:shd w:val="clear" w:color="auto" w:fill="auto"/>
            <w:noWrap w:val="0"/>
            <w:vAlign w:val="center"/>
          </w:tcPr>
          <w:p>
            <w:pPr>
              <w:spacing w:line="360" w:lineRule="exact"/>
              <w:jc w:val="center"/>
              <w:rPr>
                <w:rFonts w:ascii="仿宋_GB2312" w:hAnsi="仿宋" w:eastAsia="仿宋_GB2312" w:cs="仿宋"/>
                <w:sz w:val="24"/>
                <w:szCs w:val="24"/>
              </w:rPr>
            </w:pPr>
          </w:p>
        </w:tc>
        <w:tc>
          <w:tcPr>
            <w:tcW w:w="1715" w:type="dxa"/>
            <w:shd w:val="clear" w:color="auto" w:fill="auto"/>
            <w:noWrap w:val="0"/>
            <w:vAlign w:val="center"/>
          </w:tcPr>
          <w:p>
            <w:pPr>
              <w:spacing w:line="360" w:lineRule="exact"/>
              <w:jc w:val="left"/>
              <w:rPr>
                <w:rFonts w:ascii="仿宋_GB2312" w:hAnsi="仿宋" w:eastAsia="仿宋_GB2312" w:cs="仿宋"/>
                <w:sz w:val="24"/>
                <w:szCs w:val="24"/>
              </w:rPr>
            </w:pPr>
            <w:r>
              <w:rPr>
                <w:rFonts w:hint="eastAsia" w:ascii="仿宋_GB2312" w:hAnsi="仿宋" w:eastAsia="仿宋_GB2312" w:cs="仿宋"/>
                <w:sz w:val="24"/>
                <w:szCs w:val="24"/>
              </w:rPr>
              <w:t>地图助力</w:t>
            </w:r>
          </w:p>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文化建设</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赤峰市</w:t>
            </w:r>
          </w:p>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地图集</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仿宋" w:eastAsia="仿宋_GB2312" w:cs="仿宋"/>
                <w:sz w:val="24"/>
                <w:szCs w:val="24"/>
              </w:rPr>
              <w:t>地图集、地图册工作用图</w:t>
            </w:r>
            <w:r>
              <w:rPr>
                <w:rFonts w:hint="eastAsia" w:ascii="仿宋_GB2312" w:hAnsi="Times New Roman" w:eastAsia="仿宋_GB2312"/>
                <w:sz w:val="24"/>
                <w:szCs w:val="24"/>
              </w:rPr>
              <w:t>编制</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14</w:t>
            </w:r>
          </w:p>
        </w:tc>
        <w:tc>
          <w:tcPr>
            <w:tcW w:w="1524" w:type="dxa"/>
            <w:vMerge w:val="continue"/>
            <w:shd w:val="clear" w:color="auto" w:fill="auto"/>
            <w:noWrap w:val="0"/>
            <w:vAlign w:val="center"/>
          </w:tcPr>
          <w:p>
            <w:pPr>
              <w:spacing w:line="360" w:lineRule="exact"/>
              <w:jc w:val="center"/>
              <w:rPr>
                <w:rFonts w:ascii="仿宋_GB2312" w:hAnsi="Times New Roman" w:eastAsia="仿宋_GB2312"/>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测绘科技创新能力建设</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无</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购置测绘软件系统网络装备</w:t>
            </w:r>
          </w:p>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现代化信息化</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725"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15</w:t>
            </w:r>
          </w:p>
        </w:tc>
        <w:tc>
          <w:tcPr>
            <w:tcW w:w="1524" w:type="dxa"/>
            <w:vMerge w:val="continue"/>
            <w:shd w:val="clear" w:color="auto" w:fill="auto"/>
            <w:noWrap w:val="0"/>
            <w:vAlign w:val="center"/>
          </w:tcPr>
          <w:p>
            <w:pPr>
              <w:spacing w:line="360" w:lineRule="exact"/>
              <w:rPr>
                <w:rFonts w:ascii="仿宋_GB2312" w:hAnsi="仿宋" w:eastAsia="仿宋_GB2312" w:cs="仿宋"/>
                <w:sz w:val="24"/>
                <w:szCs w:val="24"/>
              </w:rPr>
            </w:pPr>
          </w:p>
        </w:tc>
        <w:tc>
          <w:tcPr>
            <w:tcW w:w="171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卫星应用中心建设</w:t>
            </w:r>
          </w:p>
        </w:tc>
        <w:tc>
          <w:tcPr>
            <w:tcW w:w="1595"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无</w:t>
            </w:r>
          </w:p>
        </w:tc>
        <w:tc>
          <w:tcPr>
            <w:tcW w:w="1708" w:type="dxa"/>
            <w:shd w:val="clear" w:color="auto" w:fill="auto"/>
            <w:noWrap w:val="0"/>
            <w:vAlign w:val="center"/>
          </w:tcPr>
          <w:p>
            <w:pPr>
              <w:spacing w:line="360" w:lineRule="exact"/>
              <w:jc w:val="left"/>
              <w:rPr>
                <w:rFonts w:ascii="仿宋_GB2312" w:hAnsi="Times New Roman" w:eastAsia="仿宋_GB2312"/>
                <w:sz w:val="24"/>
                <w:szCs w:val="24"/>
              </w:rPr>
            </w:pPr>
            <w:r>
              <w:rPr>
                <w:rFonts w:hint="eastAsia" w:ascii="仿宋_GB2312" w:hAnsi="Times New Roman" w:eastAsia="仿宋_GB2312"/>
                <w:sz w:val="24"/>
                <w:szCs w:val="24"/>
              </w:rPr>
              <w:t>建成自治区市级节点</w:t>
            </w:r>
          </w:p>
        </w:tc>
        <w:tc>
          <w:tcPr>
            <w:tcW w:w="1091" w:type="dxa"/>
            <w:shd w:val="clear" w:color="auto" w:fill="auto"/>
            <w:noWrap w:val="0"/>
            <w:vAlign w:val="center"/>
          </w:tcPr>
          <w:p>
            <w:pPr>
              <w:spacing w:line="360" w:lineRule="exact"/>
              <w:jc w:val="center"/>
              <w:rPr>
                <w:rFonts w:ascii="仿宋_GB2312" w:hAnsi="Times New Roman" w:eastAsia="仿宋_GB2312"/>
                <w:sz w:val="24"/>
                <w:szCs w:val="24"/>
              </w:rPr>
            </w:pPr>
            <w:r>
              <w:rPr>
                <w:rFonts w:hint="eastAsia" w:ascii="仿宋_GB2312" w:hAnsi="Times New Roman" w:eastAsia="仿宋_GB2312"/>
                <w:sz w:val="24"/>
                <w:szCs w:val="24"/>
              </w:rPr>
              <w:t>约束性</w:t>
            </w:r>
          </w:p>
        </w:tc>
      </w:tr>
      <w:bookmarkEnd w:id="37"/>
    </w:tbl>
    <w:p>
      <w:pPr>
        <w:pStyle w:val="3"/>
        <w:spacing w:before="0" w:after="0" w:line="560" w:lineRule="exact"/>
        <w:jc w:val="left"/>
        <w:rPr>
          <w:rFonts w:ascii="楷体_GB2312" w:hAnsi="楷体" w:eastAsia="楷体_GB2312"/>
          <w:b w:val="0"/>
          <w:bCs/>
          <w:szCs w:val="22"/>
        </w:rPr>
      </w:pPr>
      <w:bookmarkStart w:id="40" w:name="_Toc97647637"/>
    </w:p>
    <w:p>
      <w:pPr>
        <w:pStyle w:val="2"/>
        <w:snapToGrid w:val="0"/>
        <w:spacing w:before="0" w:after="0" w:line="560" w:lineRule="exact"/>
        <w:ind w:firstLine="800" w:firstLineChars="250"/>
        <w:rPr>
          <w:rFonts w:ascii="黑体" w:hAnsi="黑体"/>
          <w:b w:val="0"/>
          <w:bCs/>
          <w:szCs w:val="22"/>
        </w:rPr>
      </w:pPr>
      <w:r>
        <w:rPr>
          <w:rFonts w:hint="eastAsia"/>
          <w:b w:val="0"/>
          <w:bCs/>
        </w:rPr>
        <w:t>五</w:t>
      </w:r>
      <w:r>
        <w:rPr>
          <w:b w:val="0"/>
          <w:bCs/>
        </w:rPr>
        <w:t>、经费预算</w:t>
      </w:r>
    </w:p>
    <w:p>
      <w:pPr>
        <w:pStyle w:val="3"/>
        <w:spacing w:before="0" w:after="0" w:line="560" w:lineRule="exact"/>
        <w:jc w:val="left"/>
        <w:rPr>
          <w:rFonts w:ascii="楷体_GB2312" w:hAnsi="楷体" w:eastAsia="楷体_GB2312"/>
          <w:b w:val="0"/>
          <w:bCs/>
          <w:szCs w:val="22"/>
        </w:rPr>
      </w:pPr>
      <w:r>
        <w:rPr>
          <w:rFonts w:hint="eastAsia" w:ascii="楷体_GB2312" w:hAnsi="楷体" w:eastAsia="楷体_GB2312"/>
          <w:b w:val="0"/>
          <w:bCs/>
          <w:szCs w:val="22"/>
        </w:rPr>
        <w:t xml:space="preserve">    （一）经费预算依据</w:t>
      </w:r>
      <w:bookmarkEnd w:id="40"/>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费测算按照中华人民共和国财政部、原国家测绘局2009年发布的《测绘生产成本费用定额》及相关细则、《内蒙古自治区办公厅关于印发自然资源领域自治区与盟市财政事权和支出责任划分改革方案的通知》（内政办发〔2021〕75号），结合赤峰市实际情况预算。</w:t>
      </w:r>
    </w:p>
    <w:p>
      <w:pPr>
        <w:pStyle w:val="3"/>
        <w:spacing w:before="0" w:after="0" w:line="560" w:lineRule="exact"/>
        <w:jc w:val="left"/>
        <w:rPr>
          <w:rFonts w:ascii="楷体_GB2312" w:hAnsi="楷体" w:eastAsia="楷体_GB2312"/>
          <w:b w:val="0"/>
          <w:bCs/>
          <w:szCs w:val="22"/>
        </w:rPr>
      </w:pPr>
      <w:bookmarkStart w:id="41" w:name="_Toc97647638"/>
      <w:r>
        <w:rPr>
          <w:rFonts w:hint="eastAsia" w:ascii="楷体" w:hAnsi="楷体"/>
          <w:b w:val="0"/>
          <w:bCs/>
          <w:szCs w:val="22"/>
        </w:rPr>
        <w:t xml:space="preserve">  </w:t>
      </w:r>
      <w:r>
        <w:rPr>
          <w:rFonts w:hint="eastAsia" w:ascii="楷体_GB2312" w:hAnsi="楷体" w:eastAsia="楷体_GB2312"/>
          <w:b w:val="0"/>
          <w:bCs/>
          <w:szCs w:val="22"/>
        </w:rPr>
        <w:t xml:space="preserve">  （二）经费预算</w:t>
      </w:r>
      <w:bookmarkEnd w:id="41"/>
    </w:p>
    <w:bookmarkEnd w:id="38"/>
    <w:bookmarkEnd w:id="39"/>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“十四五”规划期间，围绕赤峰市党委、政府中心工作，结合自然资源工作的需求，市本级基础测绘项目经费预算拟投入约 5065万元，经费预算见下表：</w:t>
      </w:r>
    </w:p>
    <w:p>
      <w:pPr>
        <w:spacing w:line="560" w:lineRule="exact"/>
        <w:ind w:firstLine="640" w:firstLineChars="200"/>
        <w:jc w:val="left"/>
        <w:rPr>
          <w:rFonts w:hint="eastAsia" w:ascii="仿宋_GB2312" w:hAnsi="仿宋_GB2312" w:eastAsia="仿宋_GB2312" w:cs="仿宋_GB2312"/>
          <w:sz w:val="32"/>
          <w:szCs w:val="32"/>
        </w:rPr>
      </w:pPr>
    </w:p>
    <w:p>
      <w:pPr>
        <w:spacing w:line="600" w:lineRule="exact"/>
        <w:jc w:val="center"/>
        <w:rPr>
          <w:rFonts w:hint="eastAsia" w:ascii="方正小标宋简体" w:hAnsi="楷体" w:eastAsia="方正小标宋简体" w:cs="仿宋"/>
          <w:sz w:val="32"/>
          <w:szCs w:val="32"/>
        </w:rPr>
      </w:pPr>
      <w:r>
        <w:rPr>
          <w:rFonts w:hint="eastAsia" w:ascii="方正小标宋简体" w:hAnsi="楷体" w:eastAsia="方正小标宋简体" w:cs="仿宋"/>
          <w:sz w:val="32"/>
          <w:szCs w:val="32"/>
        </w:rPr>
        <w:t>“十四五”基础测绘主要任务经费预算表</w:t>
      </w:r>
    </w:p>
    <w:tbl>
      <w:tblPr>
        <w:tblStyle w:val="7"/>
        <w:tblpPr w:leftFromText="180" w:rightFromText="180" w:vertAnchor="text" w:horzAnchor="page" w:tblpXSpec="center" w:tblpY="8"/>
        <w:tblOverlap w:val="never"/>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3073"/>
        <w:gridCol w:w="3383"/>
        <w:gridCol w:w="782"/>
        <w:gridCol w:w="1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exact"/>
        </w:trPr>
        <w:tc>
          <w:tcPr>
            <w:tcW w:w="539" w:type="dxa"/>
            <w:noWrap w:val="0"/>
            <w:vAlign w:val="center"/>
          </w:tcPr>
          <w:p>
            <w:pPr>
              <w:spacing w:line="400" w:lineRule="exact"/>
              <w:jc w:val="center"/>
              <w:rPr>
                <w:rFonts w:ascii="仿宋_GB2312" w:hAnsi="仿宋" w:eastAsia="仿宋_GB2312" w:cs="仿宋"/>
                <w:sz w:val="24"/>
                <w:szCs w:val="24"/>
                <w:lang w:bidi="zh-CN"/>
              </w:rPr>
            </w:pPr>
            <w:r>
              <w:rPr>
                <w:rFonts w:hint="eastAsia" w:ascii="仿宋_GB2312" w:hAnsi="仿宋" w:eastAsia="仿宋_GB2312" w:cs="仿宋"/>
                <w:sz w:val="24"/>
                <w:szCs w:val="24"/>
                <w:lang w:bidi="zh-CN"/>
              </w:rPr>
              <w:t>序号</w:t>
            </w:r>
          </w:p>
        </w:tc>
        <w:tc>
          <w:tcPr>
            <w:tcW w:w="3073" w:type="dxa"/>
            <w:noWrap w:val="0"/>
            <w:vAlign w:val="center"/>
          </w:tcPr>
          <w:p>
            <w:pPr>
              <w:spacing w:line="400" w:lineRule="exact"/>
              <w:jc w:val="center"/>
              <w:rPr>
                <w:rFonts w:ascii="仿宋_GB2312" w:hAnsi="仿宋" w:eastAsia="仿宋_GB2312" w:cs="仿宋"/>
                <w:sz w:val="24"/>
                <w:szCs w:val="24"/>
              </w:rPr>
            </w:pPr>
            <w:r>
              <w:rPr>
                <w:rFonts w:hint="eastAsia" w:ascii="仿宋_GB2312" w:hAnsi="仿宋" w:eastAsia="仿宋_GB2312" w:cs="仿宋"/>
                <w:sz w:val="24"/>
                <w:szCs w:val="24"/>
              </w:rPr>
              <w:t>主要任务</w:t>
            </w:r>
          </w:p>
        </w:tc>
        <w:tc>
          <w:tcPr>
            <w:tcW w:w="3383" w:type="dxa"/>
            <w:noWrap w:val="0"/>
            <w:vAlign w:val="center"/>
          </w:tcPr>
          <w:p>
            <w:pPr>
              <w:spacing w:line="400" w:lineRule="exact"/>
              <w:jc w:val="center"/>
              <w:rPr>
                <w:rFonts w:ascii="仿宋_GB2312" w:hAnsi="仿宋" w:eastAsia="仿宋_GB2312" w:cs="仿宋"/>
                <w:sz w:val="24"/>
                <w:szCs w:val="24"/>
                <w:lang w:bidi="zh-CN"/>
              </w:rPr>
            </w:pPr>
            <w:r>
              <w:rPr>
                <w:rFonts w:hint="eastAsia" w:ascii="仿宋_GB2312" w:hAnsi="仿宋" w:eastAsia="仿宋_GB2312" w:cs="仿宋"/>
                <w:sz w:val="24"/>
                <w:szCs w:val="24"/>
                <w:lang w:bidi="zh-CN"/>
              </w:rPr>
              <w:t>具体项目</w:t>
            </w:r>
          </w:p>
        </w:tc>
        <w:tc>
          <w:tcPr>
            <w:tcW w:w="1931" w:type="dxa"/>
            <w:gridSpan w:val="2"/>
            <w:noWrap w:val="0"/>
            <w:vAlign w:val="center"/>
          </w:tcPr>
          <w:p>
            <w:pPr>
              <w:spacing w:line="600" w:lineRule="exact"/>
              <w:jc w:val="center"/>
              <w:rPr>
                <w:rFonts w:ascii="仿宋_GB2312" w:hAnsi="仿宋" w:eastAsia="仿宋_GB2312" w:cs="仿宋"/>
                <w:sz w:val="24"/>
                <w:szCs w:val="24"/>
                <w:lang w:bidi="zh-CN"/>
              </w:rPr>
            </w:pPr>
            <w:r>
              <w:rPr>
                <w:rFonts w:hint="eastAsia" w:ascii="仿宋_GB2312" w:hAnsi="仿宋" w:eastAsia="仿宋_GB2312" w:cs="仿宋"/>
                <w:sz w:val="24"/>
                <w:szCs w:val="24"/>
                <w:lang w:bidi="zh-CN"/>
              </w:rPr>
              <w:t>总预算</w:t>
            </w:r>
          </w:p>
          <w:p>
            <w:pPr>
              <w:spacing w:line="600" w:lineRule="exact"/>
              <w:jc w:val="center"/>
              <w:rPr>
                <w:rFonts w:ascii="仿宋_GB2312" w:hAnsi="仿宋" w:eastAsia="仿宋_GB2312" w:cs="仿宋"/>
                <w:sz w:val="24"/>
                <w:szCs w:val="24"/>
                <w:lang w:bidi="zh-CN"/>
              </w:rPr>
            </w:pPr>
            <w:r>
              <w:rPr>
                <w:rFonts w:hint="eastAsia" w:ascii="仿宋_GB2312" w:hAnsi="仿宋" w:eastAsia="仿宋_GB2312" w:cs="仿宋"/>
                <w:sz w:val="24"/>
                <w:szCs w:val="24"/>
                <w:lang w:bidi="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exact"/>
        </w:trPr>
        <w:tc>
          <w:tcPr>
            <w:tcW w:w="539" w:type="dxa"/>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1</w:t>
            </w:r>
          </w:p>
        </w:tc>
        <w:tc>
          <w:tcPr>
            <w:tcW w:w="3073" w:type="dxa"/>
            <w:noWrap w:val="0"/>
            <w:vAlign w:val="center"/>
          </w:tcPr>
          <w:p>
            <w:pPr>
              <w:spacing w:line="400" w:lineRule="exact"/>
              <w:jc w:val="left"/>
              <w:rPr>
                <w:rFonts w:ascii="仿宋_GB2312" w:eastAsia="仿宋_GB2312"/>
                <w:sz w:val="24"/>
                <w:szCs w:val="24"/>
              </w:rPr>
            </w:pPr>
            <w:r>
              <w:rPr>
                <w:rFonts w:hint="eastAsia" w:ascii="仿宋_GB2312" w:eastAsia="仿宋_GB2312"/>
                <w:sz w:val="24"/>
                <w:szCs w:val="24"/>
              </w:rPr>
              <w:t>依法测绘，建设现代测绘基准体系</w:t>
            </w:r>
          </w:p>
        </w:tc>
        <w:tc>
          <w:tcPr>
            <w:tcW w:w="3383" w:type="dxa"/>
            <w:noWrap w:val="0"/>
            <w:vAlign w:val="center"/>
          </w:tcPr>
          <w:p>
            <w:pPr>
              <w:spacing w:line="400" w:lineRule="exact"/>
              <w:jc w:val="left"/>
              <w:rPr>
                <w:rFonts w:ascii="仿宋_GB2312" w:eastAsia="仿宋_GB2312"/>
                <w:sz w:val="24"/>
                <w:szCs w:val="24"/>
              </w:rPr>
            </w:pPr>
            <w:r>
              <w:rPr>
                <w:rFonts w:hint="eastAsia" w:ascii="仿宋_GB2312" w:eastAsia="仿宋_GB2312"/>
                <w:sz w:val="24"/>
                <w:szCs w:val="24"/>
              </w:rPr>
              <w:t>现代测绘基准体系建设</w:t>
            </w:r>
          </w:p>
          <w:p>
            <w:pPr>
              <w:spacing w:line="400" w:lineRule="exact"/>
              <w:jc w:val="left"/>
              <w:rPr>
                <w:rFonts w:ascii="仿宋_GB2312" w:eastAsia="仿宋_GB2312"/>
                <w:sz w:val="24"/>
                <w:szCs w:val="24"/>
              </w:rPr>
            </w:pPr>
          </w:p>
        </w:tc>
        <w:tc>
          <w:tcPr>
            <w:tcW w:w="1931" w:type="dxa"/>
            <w:gridSpan w:val="2"/>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exact"/>
        </w:trPr>
        <w:tc>
          <w:tcPr>
            <w:tcW w:w="539" w:type="dxa"/>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2</w:t>
            </w:r>
          </w:p>
        </w:tc>
        <w:tc>
          <w:tcPr>
            <w:tcW w:w="3073" w:type="dxa"/>
            <w:noWrap w:val="0"/>
            <w:vAlign w:val="center"/>
          </w:tcPr>
          <w:p>
            <w:pPr>
              <w:spacing w:line="400" w:lineRule="exact"/>
              <w:jc w:val="left"/>
              <w:rPr>
                <w:rFonts w:ascii="仿宋_GB2312" w:eastAsia="仿宋_GB2312"/>
                <w:sz w:val="24"/>
                <w:szCs w:val="24"/>
              </w:rPr>
            </w:pPr>
            <w:r>
              <w:rPr>
                <w:rFonts w:hint="eastAsia" w:ascii="仿宋_GB2312" w:eastAsia="仿宋_GB2312"/>
                <w:sz w:val="24"/>
                <w:szCs w:val="24"/>
              </w:rPr>
              <w:t>支撑经济社会发展，加快基础数据建设</w:t>
            </w:r>
          </w:p>
        </w:tc>
        <w:tc>
          <w:tcPr>
            <w:tcW w:w="3383" w:type="dxa"/>
            <w:noWrap w:val="0"/>
            <w:vAlign w:val="center"/>
          </w:tcPr>
          <w:p>
            <w:pPr>
              <w:widowControl/>
              <w:spacing w:line="400" w:lineRule="exact"/>
              <w:jc w:val="left"/>
              <w:rPr>
                <w:rFonts w:ascii="仿宋_GB2312" w:hAnsi="仿宋" w:eastAsia="仿宋_GB2312" w:cs="仿宋"/>
                <w:sz w:val="24"/>
                <w:szCs w:val="24"/>
              </w:rPr>
            </w:pPr>
            <w:r>
              <w:rPr>
                <w:rFonts w:hint="eastAsia" w:ascii="仿宋_GB2312" w:hAnsi="仿宋" w:eastAsia="仿宋_GB2312" w:cs="仿宋"/>
                <w:sz w:val="24"/>
                <w:szCs w:val="24"/>
              </w:rPr>
              <w:t>基础地理信息更新</w:t>
            </w:r>
          </w:p>
        </w:tc>
        <w:tc>
          <w:tcPr>
            <w:tcW w:w="1931" w:type="dxa"/>
            <w:gridSpan w:val="2"/>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3250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exact"/>
        </w:trPr>
        <w:tc>
          <w:tcPr>
            <w:tcW w:w="539" w:type="dxa"/>
            <w:vMerge w:val="restart"/>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3</w:t>
            </w:r>
          </w:p>
        </w:tc>
        <w:tc>
          <w:tcPr>
            <w:tcW w:w="3073" w:type="dxa"/>
            <w:vMerge w:val="restart"/>
            <w:noWrap w:val="0"/>
            <w:vAlign w:val="center"/>
          </w:tcPr>
          <w:p>
            <w:pPr>
              <w:spacing w:line="400" w:lineRule="exact"/>
              <w:jc w:val="left"/>
              <w:rPr>
                <w:rFonts w:ascii="仿宋_GB2312" w:eastAsia="仿宋_GB2312"/>
                <w:sz w:val="24"/>
                <w:szCs w:val="24"/>
              </w:rPr>
            </w:pPr>
            <w:r>
              <w:rPr>
                <w:rFonts w:hint="eastAsia" w:ascii="仿宋_GB2312" w:eastAsia="仿宋_GB2312"/>
                <w:sz w:val="24"/>
                <w:szCs w:val="24"/>
              </w:rPr>
              <w:t>支撑自然资源管理，建设自然资源“一张图”</w:t>
            </w:r>
          </w:p>
        </w:tc>
        <w:tc>
          <w:tcPr>
            <w:tcW w:w="3383" w:type="dxa"/>
            <w:noWrap w:val="0"/>
            <w:vAlign w:val="center"/>
          </w:tcPr>
          <w:p>
            <w:pPr>
              <w:spacing w:line="400" w:lineRule="exact"/>
              <w:rPr>
                <w:rFonts w:ascii="仿宋_GB2312" w:eastAsia="仿宋_GB2312"/>
                <w:sz w:val="24"/>
                <w:szCs w:val="24"/>
              </w:rPr>
            </w:pPr>
            <w:r>
              <w:rPr>
                <w:rFonts w:hint="eastAsia" w:ascii="仿宋_GB2312" w:hAnsi="仿宋" w:eastAsia="仿宋_GB2312" w:cs="仿宋"/>
                <w:sz w:val="24"/>
                <w:szCs w:val="24"/>
              </w:rPr>
              <w:t>地理信息公共服务</w:t>
            </w:r>
          </w:p>
        </w:tc>
        <w:tc>
          <w:tcPr>
            <w:tcW w:w="782" w:type="dxa"/>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100</w:t>
            </w:r>
          </w:p>
        </w:tc>
        <w:tc>
          <w:tcPr>
            <w:tcW w:w="1149" w:type="dxa"/>
            <w:vMerge w:val="restart"/>
            <w:noWrap w:val="0"/>
            <w:vAlign w:val="center"/>
          </w:tcPr>
          <w:p>
            <w:pPr>
              <w:widowControl/>
              <w:spacing w:line="400" w:lineRule="exact"/>
              <w:jc w:val="center"/>
              <w:rPr>
                <w:rFonts w:ascii="仿宋_GB2312" w:eastAsia="仿宋_GB2312"/>
                <w:sz w:val="24"/>
                <w:szCs w:val="24"/>
              </w:rPr>
            </w:pPr>
            <w:r>
              <w:rPr>
                <w:rFonts w:hint="eastAsia" w:ascii="仿宋_GB2312" w:eastAsia="仿宋_GB2312"/>
                <w:sz w:val="24"/>
                <w:szCs w:val="24"/>
              </w:rPr>
              <w:t>小计600</w:t>
            </w:r>
          </w:p>
          <w:p>
            <w:pPr>
              <w:widowControl/>
              <w:spacing w:line="400" w:lineRule="exact"/>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exact"/>
        </w:trPr>
        <w:tc>
          <w:tcPr>
            <w:tcW w:w="539" w:type="dxa"/>
            <w:vMerge w:val="continue"/>
            <w:noWrap w:val="0"/>
            <w:vAlign w:val="center"/>
          </w:tcPr>
          <w:p>
            <w:pPr>
              <w:spacing w:line="400" w:lineRule="exact"/>
              <w:jc w:val="center"/>
              <w:rPr>
                <w:rFonts w:ascii="仿宋_GB2312" w:eastAsia="仿宋_GB2312"/>
                <w:sz w:val="24"/>
                <w:szCs w:val="24"/>
              </w:rPr>
            </w:pPr>
          </w:p>
        </w:tc>
        <w:tc>
          <w:tcPr>
            <w:tcW w:w="3073" w:type="dxa"/>
            <w:vMerge w:val="continue"/>
            <w:noWrap w:val="0"/>
            <w:vAlign w:val="center"/>
          </w:tcPr>
          <w:p>
            <w:pPr>
              <w:spacing w:line="400" w:lineRule="exact"/>
              <w:jc w:val="left"/>
              <w:rPr>
                <w:rFonts w:ascii="仿宋_GB2312" w:eastAsia="仿宋_GB2312"/>
                <w:sz w:val="24"/>
                <w:szCs w:val="24"/>
              </w:rPr>
            </w:pPr>
          </w:p>
        </w:tc>
        <w:tc>
          <w:tcPr>
            <w:tcW w:w="3383" w:type="dxa"/>
            <w:noWrap w:val="0"/>
            <w:vAlign w:val="center"/>
          </w:tcPr>
          <w:p>
            <w:pPr>
              <w:widowControl/>
              <w:spacing w:line="400" w:lineRule="exact"/>
              <w:jc w:val="left"/>
              <w:rPr>
                <w:rFonts w:ascii="仿宋_GB2312" w:hAnsi="仿宋" w:eastAsia="仿宋_GB2312" w:cs="仿宋"/>
                <w:sz w:val="24"/>
                <w:szCs w:val="24"/>
              </w:rPr>
            </w:pPr>
            <w:r>
              <w:rPr>
                <w:rFonts w:hint="eastAsia" w:ascii="仿宋_GB2312" w:hAnsi="仿宋" w:eastAsia="仿宋_GB2312" w:cs="仿宋"/>
                <w:sz w:val="24"/>
                <w:szCs w:val="24"/>
              </w:rPr>
              <w:t>“实景三维赤峰”建设</w:t>
            </w:r>
          </w:p>
        </w:tc>
        <w:tc>
          <w:tcPr>
            <w:tcW w:w="782" w:type="dxa"/>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500</w:t>
            </w:r>
          </w:p>
        </w:tc>
        <w:tc>
          <w:tcPr>
            <w:tcW w:w="1149" w:type="dxa"/>
            <w:vMerge w:val="continue"/>
            <w:noWrap w:val="0"/>
            <w:vAlign w:val="center"/>
          </w:tcPr>
          <w:p>
            <w:pPr>
              <w:widowControl/>
              <w:spacing w:line="400" w:lineRule="exact"/>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exact"/>
        </w:trPr>
        <w:tc>
          <w:tcPr>
            <w:tcW w:w="539" w:type="dxa"/>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4</w:t>
            </w:r>
          </w:p>
        </w:tc>
        <w:tc>
          <w:tcPr>
            <w:tcW w:w="3073" w:type="dxa"/>
            <w:noWrap w:val="0"/>
            <w:vAlign w:val="center"/>
          </w:tcPr>
          <w:p>
            <w:pPr>
              <w:spacing w:line="400" w:lineRule="exact"/>
              <w:jc w:val="left"/>
              <w:rPr>
                <w:rFonts w:ascii="仿宋_GB2312" w:eastAsia="仿宋_GB2312"/>
                <w:sz w:val="24"/>
                <w:szCs w:val="24"/>
              </w:rPr>
            </w:pPr>
            <w:r>
              <w:rPr>
                <w:rFonts w:hint="eastAsia" w:ascii="仿宋_GB2312" w:eastAsia="仿宋_GB2312"/>
                <w:sz w:val="24"/>
                <w:szCs w:val="24"/>
              </w:rPr>
              <w:t>保障重点项目工程建设</w:t>
            </w:r>
          </w:p>
          <w:p>
            <w:pPr>
              <w:spacing w:line="400" w:lineRule="exact"/>
              <w:jc w:val="left"/>
              <w:rPr>
                <w:rFonts w:ascii="仿宋_GB2312" w:eastAsia="仿宋_GB2312"/>
                <w:sz w:val="24"/>
                <w:szCs w:val="24"/>
              </w:rPr>
            </w:pPr>
          </w:p>
        </w:tc>
        <w:tc>
          <w:tcPr>
            <w:tcW w:w="3383" w:type="dxa"/>
            <w:noWrap w:val="0"/>
            <w:vAlign w:val="center"/>
          </w:tcPr>
          <w:p>
            <w:pPr>
              <w:widowControl/>
              <w:spacing w:line="400" w:lineRule="exact"/>
              <w:ind w:right="420"/>
              <w:textAlignment w:val="center"/>
              <w:rPr>
                <w:rFonts w:ascii="仿宋_GB2312" w:eastAsia="仿宋_GB2312"/>
                <w:sz w:val="24"/>
                <w:szCs w:val="24"/>
              </w:rPr>
            </w:pPr>
            <w:r>
              <w:rPr>
                <w:rFonts w:hint="eastAsia" w:ascii="仿宋_GB2312" w:eastAsia="仿宋_GB2312"/>
                <w:sz w:val="24"/>
                <w:szCs w:val="24"/>
              </w:rPr>
              <w:t>开展重点水域、旅游区、市政建设等项目测绘</w:t>
            </w:r>
          </w:p>
        </w:tc>
        <w:tc>
          <w:tcPr>
            <w:tcW w:w="1931" w:type="dxa"/>
            <w:gridSpan w:val="2"/>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exact"/>
        </w:trPr>
        <w:tc>
          <w:tcPr>
            <w:tcW w:w="539" w:type="dxa"/>
            <w:vMerge w:val="restart"/>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5</w:t>
            </w:r>
          </w:p>
          <w:p>
            <w:pPr>
              <w:spacing w:line="400" w:lineRule="exact"/>
              <w:jc w:val="center"/>
              <w:rPr>
                <w:rFonts w:ascii="仿宋_GB2312" w:eastAsia="仿宋_GB2312"/>
                <w:sz w:val="24"/>
                <w:szCs w:val="24"/>
              </w:rPr>
            </w:pPr>
          </w:p>
        </w:tc>
        <w:tc>
          <w:tcPr>
            <w:tcW w:w="3073" w:type="dxa"/>
            <w:vMerge w:val="restart"/>
            <w:noWrap w:val="0"/>
            <w:vAlign w:val="center"/>
          </w:tcPr>
          <w:p>
            <w:pPr>
              <w:spacing w:line="400" w:lineRule="exact"/>
              <w:jc w:val="left"/>
              <w:rPr>
                <w:rFonts w:ascii="仿宋_GB2312" w:eastAsia="仿宋_GB2312"/>
                <w:sz w:val="24"/>
                <w:szCs w:val="24"/>
              </w:rPr>
            </w:pPr>
            <w:r>
              <w:rPr>
                <w:rFonts w:hint="eastAsia" w:ascii="仿宋_GB2312" w:eastAsia="仿宋_GB2312"/>
                <w:sz w:val="24"/>
                <w:szCs w:val="24"/>
              </w:rPr>
              <w:t>服务社会共享发展，加强测绘能力建设</w:t>
            </w:r>
          </w:p>
        </w:tc>
        <w:tc>
          <w:tcPr>
            <w:tcW w:w="3383" w:type="dxa"/>
            <w:noWrap w:val="0"/>
            <w:vAlign w:val="center"/>
          </w:tcPr>
          <w:p>
            <w:pPr>
              <w:widowControl/>
              <w:spacing w:line="400" w:lineRule="exact"/>
              <w:ind w:right="420"/>
              <w:textAlignment w:val="center"/>
              <w:rPr>
                <w:rFonts w:ascii="仿宋_GB2312" w:hAnsi="仿宋" w:eastAsia="仿宋_GB2312" w:cs="仿宋"/>
                <w:sz w:val="24"/>
                <w:szCs w:val="24"/>
              </w:rPr>
            </w:pPr>
            <w:r>
              <w:rPr>
                <w:rFonts w:hint="eastAsia" w:ascii="仿宋_GB2312" w:hAnsi="仿宋" w:eastAsia="仿宋_GB2312" w:cs="仿宋"/>
                <w:sz w:val="24"/>
                <w:szCs w:val="24"/>
              </w:rPr>
              <w:t>应急测绘保障能力</w:t>
            </w:r>
            <w:r>
              <w:rPr>
                <w:rFonts w:ascii="仿宋_GB2312" w:hAnsi="仿宋" w:eastAsia="仿宋_GB2312" w:cs="仿宋"/>
                <w:sz w:val="24"/>
                <w:szCs w:val="24"/>
              </w:rPr>
              <w:t>建设</w:t>
            </w:r>
          </w:p>
          <w:p>
            <w:pPr>
              <w:widowControl/>
              <w:spacing w:line="400" w:lineRule="exact"/>
              <w:ind w:right="420"/>
              <w:textAlignment w:val="center"/>
              <w:rPr>
                <w:rFonts w:ascii="仿宋_GB2312" w:hAnsi="仿宋" w:eastAsia="仿宋_GB2312" w:cs="仿宋"/>
                <w:sz w:val="24"/>
                <w:szCs w:val="24"/>
              </w:rPr>
            </w:pPr>
          </w:p>
        </w:tc>
        <w:tc>
          <w:tcPr>
            <w:tcW w:w="782" w:type="dxa"/>
            <w:noWrap w:val="0"/>
            <w:vAlign w:val="center"/>
          </w:tcPr>
          <w:p>
            <w:pPr>
              <w:spacing w:line="400" w:lineRule="exact"/>
              <w:jc w:val="center"/>
              <w:rPr>
                <w:rFonts w:ascii="仿宋_GB2312" w:eastAsia="仿宋_GB2312"/>
                <w:sz w:val="24"/>
                <w:szCs w:val="24"/>
              </w:rPr>
            </w:pPr>
            <w:r>
              <w:rPr>
                <w:rFonts w:hint="eastAsia" w:ascii="仿宋_GB2312" w:eastAsia="仿宋_GB2312"/>
                <w:sz w:val="24"/>
                <w:szCs w:val="24"/>
              </w:rPr>
              <w:t>100</w:t>
            </w:r>
          </w:p>
        </w:tc>
        <w:tc>
          <w:tcPr>
            <w:tcW w:w="1149" w:type="dxa"/>
            <w:vMerge w:val="restart"/>
            <w:noWrap w:val="0"/>
            <w:vAlign w:val="center"/>
          </w:tcPr>
          <w:p>
            <w:pPr>
              <w:widowControl/>
              <w:spacing w:line="400" w:lineRule="exact"/>
              <w:jc w:val="center"/>
              <w:rPr>
                <w:rFonts w:ascii="仿宋_GB2312" w:eastAsia="仿宋_GB2312"/>
                <w:sz w:val="24"/>
                <w:szCs w:val="24"/>
              </w:rPr>
            </w:pPr>
            <w:r>
              <w:rPr>
                <w:rFonts w:hint="eastAsia" w:ascii="仿宋_GB2312" w:eastAsia="仿宋_GB2312"/>
                <w:sz w:val="24"/>
                <w:szCs w:val="24"/>
              </w:rPr>
              <w:t>小计450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trPr>
        <w:tc>
          <w:tcPr>
            <w:tcW w:w="539" w:type="dxa"/>
            <w:vMerge w:val="continue"/>
            <w:noWrap w:val="0"/>
            <w:vAlign w:val="center"/>
          </w:tcPr>
          <w:p>
            <w:pPr>
              <w:spacing w:line="400" w:lineRule="exact"/>
              <w:jc w:val="center"/>
              <w:rPr>
                <w:rFonts w:ascii="仿宋_GB2312" w:eastAsia="仿宋_GB2312"/>
                <w:sz w:val="24"/>
                <w:szCs w:val="24"/>
              </w:rPr>
            </w:pPr>
          </w:p>
        </w:tc>
        <w:tc>
          <w:tcPr>
            <w:tcW w:w="3073" w:type="dxa"/>
            <w:vMerge w:val="continue"/>
            <w:noWrap w:val="0"/>
            <w:vAlign w:val="center"/>
          </w:tcPr>
          <w:p>
            <w:pPr>
              <w:spacing w:line="400" w:lineRule="exact"/>
              <w:rPr>
                <w:rFonts w:ascii="仿宋_GB2312" w:eastAsia="仿宋_GB2312"/>
                <w:sz w:val="24"/>
                <w:szCs w:val="24"/>
              </w:rPr>
            </w:pPr>
          </w:p>
        </w:tc>
        <w:tc>
          <w:tcPr>
            <w:tcW w:w="3383" w:type="dxa"/>
            <w:noWrap w:val="0"/>
            <w:vAlign w:val="center"/>
          </w:tcPr>
          <w:p>
            <w:pPr>
              <w:widowControl/>
              <w:spacing w:line="400" w:lineRule="exact"/>
              <w:ind w:right="420"/>
              <w:textAlignment w:val="center"/>
              <w:rPr>
                <w:rFonts w:ascii="仿宋_GB2312" w:hAnsi="仿宋" w:eastAsia="仿宋_GB2312" w:cs="仿宋"/>
                <w:sz w:val="24"/>
                <w:szCs w:val="24"/>
              </w:rPr>
            </w:pPr>
            <w:r>
              <w:rPr>
                <w:rFonts w:hint="eastAsia" w:ascii="仿宋_GB2312" w:hAnsi="仿宋" w:eastAsia="仿宋_GB2312" w:cs="仿宋"/>
                <w:sz w:val="24"/>
                <w:szCs w:val="24"/>
              </w:rPr>
              <w:t>地图助力文化建设</w:t>
            </w:r>
          </w:p>
        </w:tc>
        <w:tc>
          <w:tcPr>
            <w:tcW w:w="782" w:type="dxa"/>
            <w:noWrap w:val="0"/>
            <w:vAlign w:val="center"/>
          </w:tcPr>
          <w:p>
            <w:pPr>
              <w:spacing w:line="600" w:lineRule="exact"/>
              <w:jc w:val="center"/>
              <w:rPr>
                <w:rFonts w:ascii="仿宋_GB2312" w:eastAsia="仿宋_GB2312"/>
                <w:sz w:val="24"/>
                <w:szCs w:val="24"/>
              </w:rPr>
            </w:pPr>
            <w:r>
              <w:rPr>
                <w:rFonts w:hint="eastAsia" w:ascii="仿宋_GB2312" w:eastAsia="仿宋_GB2312"/>
                <w:sz w:val="24"/>
                <w:szCs w:val="24"/>
              </w:rPr>
              <w:t>100</w:t>
            </w:r>
          </w:p>
        </w:tc>
        <w:tc>
          <w:tcPr>
            <w:tcW w:w="1149" w:type="dxa"/>
            <w:vMerge w:val="continue"/>
            <w:noWrap w:val="0"/>
            <w:vAlign w:val="center"/>
          </w:tcPr>
          <w:p>
            <w:pPr>
              <w:widowControl/>
              <w:spacing w:line="600" w:lineRule="exact"/>
              <w:ind w:right="420"/>
              <w:textAlignment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trPr>
        <w:tc>
          <w:tcPr>
            <w:tcW w:w="539" w:type="dxa"/>
            <w:vMerge w:val="continue"/>
            <w:noWrap w:val="0"/>
            <w:vAlign w:val="center"/>
          </w:tcPr>
          <w:p>
            <w:pPr>
              <w:spacing w:line="400" w:lineRule="exact"/>
              <w:jc w:val="center"/>
              <w:rPr>
                <w:rFonts w:ascii="仿宋_GB2312" w:eastAsia="仿宋_GB2312"/>
                <w:sz w:val="24"/>
                <w:szCs w:val="24"/>
              </w:rPr>
            </w:pPr>
          </w:p>
        </w:tc>
        <w:tc>
          <w:tcPr>
            <w:tcW w:w="3073" w:type="dxa"/>
            <w:vMerge w:val="continue"/>
            <w:noWrap w:val="0"/>
            <w:vAlign w:val="center"/>
          </w:tcPr>
          <w:p>
            <w:pPr>
              <w:spacing w:line="400" w:lineRule="exact"/>
              <w:rPr>
                <w:rFonts w:ascii="仿宋_GB2312" w:eastAsia="仿宋_GB2312"/>
                <w:sz w:val="24"/>
                <w:szCs w:val="24"/>
              </w:rPr>
            </w:pPr>
          </w:p>
        </w:tc>
        <w:tc>
          <w:tcPr>
            <w:tcW w:w="3383" w:type="dxa"/>
            <w:noWrap w:val="0"/>
            <w:vAlign w:val="center"/>
          </w:tcPr>
          <w:p>
            <w:pPr>
              <w:widowControl/>
              <w:spacing w:line="400" w:lineRule="exact"/>
              <w:ind w:right="420"/>
              <w:textAlignment w:val="center"/>
              <w:rPr>
                <w:rFonts w:ascii="仿宋_GB2312" w:hAnsi="仿宋" w:eastAsia="仿宋_GB2312" w:cs="仿宋"/>
                <w:sz w:val="24"/>
                <w:szCs w:val="24"/>
              </w:rPr>
            </w:pPr>
            <w:r>
              <w:rPr>
                <w:rFonts w:hint="eastAsia" w:ascii="仿宋_GB2312" w:hAnsi="仿宋" w:eastAsia="仿宋_GB2312" w:cs="仿宋"/>
                <w:sz w:val="24"/>
                <w:szCs w:val="24"/>
              </w:rPr>
              <w:t>测绘科技创新能力建设</w:t>
            </w:r>
          </w:p>
          <w:p>
            <w:pPr>
              <w:widowControl/>
              <w:spacing w:line="400" w:lineRule="exact"/>
              <w:ind w:right="420"/>
              <w:textAlignment w:val="center"/>
              <w:rPr>
                <w:rFonts w:ascii="仿宋_GB2312" w:hAnsi="仿宋" w:eastAsia="仿宋_GB2312" w:cs="仿宋"/>
                <w:sz w:val="24"/>
                <w:szCs w:val="24"/>
              </w:rPr>
            </w:pPr>
          </w:p>
        </w:tc>
        <w:tc>
          <w:tcPr>
            <w:tcW w:w="782" w:type="dxa"/>
            <w:noWrap w:val="0"/>
            <w:vAlign w:val="center"/>
          </w:tcPr>
          <w:p>
            <w:pPr>
              <w:spacing w:line="600" w:lineRule="exact"/>
              <w:jc w:val="center"/>
              <w:rPr>
                <w:rFonts w:ascii="仿宋_GB2312" w:eastAsia="仿宋_GB2312"/>
                <w:sz w:val="24"/>
                <w:szCs w:val="24"/>
              </w:rPr>
            </w:pPr>
            <w:r>
              <w:rPr>
                <w:rFonts w:hint="eastAsia" w:ascii="仿宋_GB2312" w:eastAsia="仿宋_GB2312"/>
                <w:sz w:val="24"/>
                <w:szCs w:val="24"/>
              </w:rPr>
              <w:t>250</w:t>
            </w:r>
          </w:p>
        </w:tc>
        <w:tc>
          <w:tcPr>
            <w:tcW w:w="1149" w:type="dxa"/>
            <w:vMerge w:val="continue"/>
            <w:noWrap w:val="0"/>
            <w:vAlign w:val="center"/>
          </w:tcPr>
          <w:p>
            <w:pPr>
              <w:widowControl/>
              <w:spacing w:line="600" w:lineRule="exact"/>
              <w:ind w:right="420" w:firstLine="3480" w:firstLineChars="1450"/>
              <w:textAlignment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exact"/>
        </w:trPr>
        <w:tc>
          <w:tcPr>
            <w:tcW w:w="8926" w:type="dxa"/>
            <w:gridSpan w:val="5"/>
            <w:noWrap w:val="0"/>
            <w:vAlign w:val="center"/>
          </w:tcPr>
          <w:p>
            <w:pPr>
              <w:widowControl/>
              <w:spacing w:line="400" w:lineRule="exact"/>
              <w:ind w:right="420" w:firstLine="7080" w:firstLineChars="2950"/>
              <w:textAlignment w:val="center"/>
              <w:rPr>
                <w:rFonts w:ascii="仿宋_GB2312" w:eastAsia="仿宋_GB2312"/>
                <w:sz w:val="24"/>
                <w:szCs w:val="24"/>
              </w:rPr>
            </w:pPr>
            <w:r>
              <w:rPr>
                <w:rFonts w:hint="eastAsia" w:ascii="仿宋_GB2312" w:eastAsia="仿宋_GB2312"/>
                <w:sz w:val="24"/>
                <w:szCs w:val="24"/>
              </w:rPr>
              <w:t>合计5065</w:t>
            </w:r>
          </w:p>
        </w:tc>
      </w:tr>
    </w:tbl>
    <w:p>
      <w:pPr>
        <w:pStyle w:val="3"/>
        <w:spacing w:before="0" w:after="0" w:line="600" w:lineRule="exact"/>
        <w:jc w:val="left"/>
        <w:rPr>
          <w:rFonts w:ascii="楷体" w:hAnsi="楷体"/>
          <w:b w:val="0"/>
          <w:bCs/>
          <w:szCs w:val="22"/>
        </w:rPr>
      </w:pPr>
      <w:bookmarkStart w:id="42" w:name="_Toc97647639"/>
    </w:p>
    <w:p>
      <w:pPr>
        <w:pStyle w:val="3"/>
        <w:spacing w:before="0" w:after="0" w:line="560" w:lineRule="exact"/>
        <w:jc w:val="left"/>
        <w:rPr>
          <w:rFonts w:ascii="楷体_GB2312" w:hAnsi="楷体" w:eastAsia="楷体_GB2312"/>
          <w:b w:val="0"/>
          <w:bCs/>
          <w:szCs w:val="22"/>
        </w:rPr>
      </w:pPr>
      <w:r>
        <w:rPr>
          <w:rFonts w:hint="eastAsia" w:ascii="楷体" w:hAnsi="楷体"/>
          <w:b w:val="0"/>
          <w:bCs/>
          <w:szCs w:val="22"/>
        </w:rPr>
        <w:t xml:space="preserve">    </w:t>
      </w:r>
      <w:r>
        <w:rPr>
          <w:rFonts w:hint="eastAsia" w:ascii="楷体_GB2312" w:hAnsi="楷体" w:eastAsia="楷体_GB2312"/>
          <w:b w:val="0"/>
          <w:bCs/>
          <w:szCs w:val="22"/>
        </w:rPr>
        <w:t>（三）资金来源</w:t>
      </w:r>
      <w:bookmarkEnd w:id="42"/>
    </w:p>
    <w:p>
      <w:pPr>
        <w:pStyle w:val="11"/>
        <w:spacing w:after="0" w:line="560" w:lineRule="exact"/>
        <w:ind w:firstLine="640" w:firstLineChars="200"/>
        <w:rPr>
          <w:rFonts w:ascii="仿宋_GB2312" w:hAnsi="仿宋_GB2312" w:eastAsia="仿宋_GB2312" w:cs="仿宋_GB2312"/>
          <w:szCs w:val="32"/>
          <w:lang w:val="en-US" w:eastAsia="zh-CN" w:bidi="ar-SA"/>
        </w:rPr>
      </w:pPr>
      <w:r>
        <w:rPr>
          <w:rFonts w:hint="eastAsia" w:ascii="仿宋_GB2312" w:hAnsi="仿宋_GB2312" w:eastAsia="仿宋_GB2312" w:cs="仿宋_GB2312"/>
          <w:szCs w:val="32"/>
          <w:lang w:val="en-US" w:eastAsia="zh-CN" w:bidi="ar-SA"/>
        </w:rPr>
        <w:t>《中华人民共和国测绘法》第十四条规定：县级以上人民政府应当将基础测绘纳入本级国民经济和社会发展年度计划及财政预算。以政府投入为主，积极争取上级部门支持，引导社会资金投入，多渠道筹集资金。</w:t>
      </w:r>
    </w:p>
    <w:p>
      <w:pPr>
        <w:pStyle w:val="2"/>
        <w:spacing w:before="0" w:after="0" w:line="560" w:lineRule="exact"/>
        <w:ind w:firstLine="640" w:firstLineChars="200"/>
        <w:rPr>
          <w:b w:val="0"/>
          <w:bCs/>
          <w:szCs w:val="22"/>
        </w:rPr>
      </w:pPr>
      <w:bookmarkStart w:id="43" w:name="_Toc97647640"/>
      <w:r>
        <w:rPr>
          <w:rFonts w:hint="eastAsia"/>
          <w:b w:val="0"/>
          <w:bCs/>
          <w:szCs w:val="22"/>
        </w:rPr>
        <w:t>六、</w:t>
      </w:r>
      <w:bookmarkStart w:id="44" w:name="_Toc28088"/>
      <w:r>
        <w:rPr>
          <w:rFonts w:hint="eastAsia"/>
          <w:b w:val="0"/>
          <w:bCs/>
          <w:szCs w:val="22"/>
        </w:rPr>
        <w:t>保障措施</w:t>
      </w:r>
      <w:bookmarkEnd w:id="43"/>
      <w:bookmarkEnd w:id="44"/>
    </w:p>
    <w:p>
      <w:pPr>
        <w:pStyle w:val="3"/>
        <w:spacing w:before="0" w:after="0" w:line="560" w:lineRule="exact"/>
        <w:jc w:val="left"/>
        <w:rPr>
          <w:rFonts w:ascii="楷体_GB2312" w:hAnsi="楷体" w:eastAsia="楷体_GB2312"/>
          <w:b w:val="0"/>
          <w:bCs/>
          <w:szCs w:val="32"/>
        </w:rPr>
      </w:pPr>
      <w:bookmarkStart w:id="45" w:name="_Toc97647641"/>
      <w:r>
        <w:rPr>
          <w:rFonts w:hint="eastAsia" w:ascii="楷体" w:hAnsi="楷体"/>
          <w:b w:val="0"/>
          <w:bCs/>
          <w:szCs w:val="32"/>
        </w:rPr>
        <w:t xml:space="preserve">    </w:t>
      </w:r>
      <w:r>
        <w:rPr>
          <w:rFonts w:hint="eastAsia" w:ascii="楷体_GB2312" w:hAnsi="楷体" w:eastAsia="楷体_GB2312"/>
          <w:b w:val="0"/>
          <w:bCs/>
          <w:szCs w:val="32"/>
        </w:rPr>
        <w:t>（一）加强组织领导</w:t>
      </w:r>
      <w:bookmarkEnd w:id="45"/>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各级政府和自然资源主管部门切实加强对本辖区基础测绘规划实施工作的组织领导，依法依规加强基础测绘工作，加强对规划执行落实的监督指导，建立评估考核机制，确保规划目标和各项任务取得实效。</w:t>
      </w:r>
    </w:p>
    <w:p>
      <w:pPr>
        <w:pStyle w:val="3"/>
        <w:spacing w:before="0" w:after="0" w:line="560" w:lineRule="exact"/>
        <w:jc w:val="left"/>
        <w:rPr>
          <w:rFonts w:ascii="楷体_GB2312" w:hAnsi="楷体" w:eastAsia="楷体_GB2312"/>
          <w:b w:val="0"/>
          <w:bCs/>
          <w:szCs w:val="32"/>
        </w:rPr>
      </w:pPr>
      <w:bookmarkStart w:id="46" w:name="_Toc97647642"/>
      <w:r>
        <w:rPr>
          <w:rFonts w:hint="eastAsia" w:ascii="楷体" w:hAnsi="楷体"/>
          <w:b w:val="0"/>
          <w:bCs/>
          <w:szCs w:val="32"/>
        </w:rPr>
        <w:t xml:space="preserve">    </w:t>
      </w:r>
      <w:r>
        <w:rPr>
          <w:rFonts w:hint="eastAsia" w:ascii="楷体_GB2312" w:hAnsi="楷体" w:eastAsia="楷体_GB2312"/>
          <w:b w:val="0"/>
          <w:bCs/>
          <w:szCs w:val="32"/>
        </w:rPr>
        <w:t>（二）完善管理模式</w:t>
      </w:r>
      <w:bookmarkEnd w:id="46"/>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强化测绘统一监督管理，优化营商环境，提高测绘依法行政的能力，促进地理信息产业健康发展。加强行业保密、安全工作，健全分级管理体制机制，建立完善测绘管理制度，创造有利于基础测绘发展的政策法制环境，</w:t>
      </w:r>
      <w:r>
        <w:rPr>
          <w:rFonts w:hint="eastAsia" w:ascii="仿宋_GB2312" w:hAnsi="仿宋_GB2312" w:eastAsia="仿宋_GB2312" w:cs="仿宋_GB2312"/>
          <w:kern w:val="0"/>
          <w:sz w:val="32"/>
          <w:szCs w:val="32"/>
        </w:rPr>
        <w:t>按照全市“一盘棋”的统</w:t>
      </w:r>
      <w:r>
        <w:rPr>
          <w:rFonts w:hint="eastAsia" w:ascii="仿宋_GB2312" w:hAnsi="仿宋_GB2312" w:eastAsia="仿宋_GB2312" w:cs="仿宋_GB2312"/>
          <w:sz w:val="32"/>
          <w:szCs w:val="32"/>
        </w:rPr>
        <w:t>筹模式，实现“行政管理+业务协同”的双轮驱动，推动基础测绘工作向资源更丰富、管理更顺畅、服务更高效的方向发展。</w:t>
      </w:r>
    </w:p>
    <w:p>
      <w:pPr>
        <w:pStyle w:val="3"/>
        <w:spacing w:before="0" w:after="0" w:line="560" w:lineRule="exact"/>
        <w:jc w:val="left"/>
        <w:rPr>
          <w:rFonts w:ascii="楷体_GB2312" w:eastAsia="楷体_GB2312"/>
          <w:b w:val="0"/>
          <w:bCs/>
          <w:szCs w:val="32"/>
        </w:rPr>
      </w:pPr>
      <w:bookmarkStart w:id="47" w:name="_Toc29059"/>
      <w:bookmarkStart w:id="48" w:name="_Toc97647643"/>
      <w:r>
        <w:rPr>
          <w:rFonts w:hint="eastAsia"/>
          <w:b w:val="0"/>
          <w:bCs/>
          <w:szCs w:val="32"/>
        </w:rPr>
        <w:t xml:space="preserve"> </w:t>
      </w:r>
      <w:r>
        <w:rPr>
          <w:rFonts w:hint="eastAsia" w:ascii="楷体_GB2312" w:eastAsia="楷体_GB2312"/>
          <w:b w:val="0"/>
          <w:bCs/>
          <w:szCs w:val="32"/>
        </w:rPr>
        <w:t xml:space="preserve">  （三）</w:t>
      </w:r>
      <w:bookmarkEnd w:id="47"/>
      <w:r>
        <w:rPr>
          <w:rFonts w:hint="eastAsia" w:ascii="楷体_GB2312" w:eastAsia="楷体_GB2312"/>
          <w:b w:val="0"/>
          <w:bCs/>
          <w:szCs w:val="32"/>
        </w:rPr>
        <w:t>保障经费投入</w:t>
      </w:r>
      <w:bookmarkEnd w:id="48"/>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各级政府要依法将确定的发展目标和主要任务分解落实到本级基础测绘规划、年度计划及财政预算，发挥规划的约束引导作用。坚持经济社会发展与财政经费投入相匹配的原则，建立稳定的资金投入和增长机制，探索建立多元化投入机制，确保基础测绘事业持续稳定发展。同时，完善经费管理制度，健全经费的使用、监管和绩效评估机制，确保资金使用效益。</w:t>
      </w:r>
    </w:p>
    <w:p>
      <w:pPr>
        <w:pStyle w:val="3"/>
        <w:spacing w:before="0" w:after="0" w:line="560" w:lineRule="exact"/>
        <w:jc w:val="left"/>
        <w:rPr>
          <w:rFonts w:ascii="楷体_GB2312" w:eastAsia="楷体_GB2312"/>
          <w:b w:val="0"/>
          <w:bCs/>
          <w:szCs w:val="32"/>
        </w:rPr>
      </w:pPr>
      <w:bookmarkStart w:id="49" w:name="_Toc24076"/>
      <w:bookmarkStart w:id="50" w:name="_Toc97647644"/>
      <w:r>
        <w:rPr>
          <w:rFonts w:hint="eastAsia" w:ascii="楷体_GB2312" w:eastAsia="楷体_GB2312"/>
          <w:b w:val="0"/>
          <w:bCs/>
          <w:szCs w:val="32"/>
        </w:rPr>
        <w:t xml:space="preserve">    （四）</w:t>
      </w:r>
      <w:bookmarkEnd w:id="49"/>
      <w:r>
        <w:rPr>
          <w:rFonts w:hint="eastAsia" w:ascii="楷体_GB2312" w:eastAsia="楷体_GB2312"/>
          <w:b w:val="0"/>
          <w:bCs/>
          <w:szCs w:val="32"/>
        </w:rPr>
        <w:t>强化人才支撑</w:t>
      </w:r>
      <w:bookmarkEnd w:id="50"/>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新时代对基础测绘发展的要求，要优化生产力布局，加强基础测绘生产、服务、质检技术支撑队伍建设，强化职责定位，推进队伍转型。完善人才引进、培养、使用和奖励机制，加强基础测绘领域专业技术人员继续教育，深入推进专业技术人才知识更新工程。强化测绘科技创新，坚持走“科技兴测”道路，推进科技创新平台建设，深入开展关键核心技术研究攻关，强化科技成果转化与推广，从而推动信息化测绘体系建设，切实提升测绘生产力水平。</w:t>
      </w:r>
    </w:p>
    <w:p>
      <w:pPr>
        <w:pStyle w:val="3"/>
        <w:spacing w:before="0" w:after="0" w:line="560" w:lineRule="exact"/>
        <w:jc w:val="left"/>
        <w:rPr>
          <w:rFonts w:ascii="楷体_GB2312" w:eastAsia="楷体_GB2312"/>
          <w:b w:val="0"/>
          <w:bCs/>
          <w:szCs w:val="32"/>
        </w:rPr>
      </w:pPr>
      <w:bookmarkStart w:id="51" w:name="_Toc26303"/>
      <w:bookmarkStart w:id="52" w:name="_Toc97647645"/>
      <w:r>
        <w:rPr>
          <w:rFonts w:hint="eastAsia"/>
          <w:b w:val="0"/>
          <w:bCs/>
          <w:szCs w:val="32"/>
        </w:rPr>
        <w:t xml:space="preserve"> </w:t>
      </w:r>
      <w:r>
        <w:rPr>
          <w:rFonts w:hint="eastAsia" w:ascii="楷体_GB2312" w:eastAsia="楷体_GB2312"/>
          <w:b w:val="0"/>
          <w:bCs/>
          <w:szCs w:val="32"/>
        </w:rPr>
        <w:t xml:space="preserve">   （五）</w:t>
      </w:r>
      <w:bookmarkEnd w:id="51"/>
      <w:r>
        <w:rPr>
          <w:rFonts w:hint="eastAsia" w:ascii="楷体_GB2312" w:eastAsia="楷体_GB2312"/>
          <w:b w:val="0"/>
          <w:bCs/>
          <w:szCs w:val="32"/>
        </w:rPr>
        <w:t>促进共享开放</w:t>
      </w:r>
      <w:bookmarkEnd w:id="52"/>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紧扣自然资源精细化管理和经济高质量发展的需求，深入推进系统内、部门间的资源共享交换。充分发挥地理信息的载体作用，积极促进“山水林田湖草”数据整合，为城市规划管理、综合治理、环境保护、审计监督等政务信息化工作提供统一的基底。在维护国家信息安全的前提下，正确处理地理信息公共服务与安全保障、利用开发和管理的关系，不断提高地理信息开放程度，实现地理信息价值的最大化。</w:t>
      </w:r>
    </w:p>
    <w:p>
      <w:pPr>
        <w:pStyle w:val="3"/>
        <w:spacing w:before="0" w:after="0" w:line="560" w:lineRule="exact"/>
        <w:jc w:val="left"/>
        <w:rPr>
          <w:rFonts w:ascii="楷体_GB2312" w:eastAsia="楷体_GB2312"/>
          <w:b w:val="0"/>
          <w:bCs/>
          <w:szCs w:val="32"/>
        </w:rPr>
      </w:pPr>
      <w:bookmarkStart w:id="53" w:name="_Toc97647646"/>
      <w:r>
        <w:rPr>
          <w:rFonts w:hint="eastAsia"/>
          <w:b w:val="0"/>
          <w:bCs/>
          <w:szCs w:val="32"/>
        </w:rPr>
        <w:t xml:space="preserve"> </w:t>
      </w:r>
      <w:r>
        <w:rPr>
          <w:rFonts w:hint="eastAsia" w:ascii="楷体_GB2312" w:eastAsia="楷体_GB2312"/>
          <w:b w:val="0"/>
          <w:bCs/>
          <w:szCs w:val="32"/>
        </w:rPr>
        <w:t xml:space="preserve">   （六）强化安全管理</w:t>
      </w:r>
      <w:bookmarkEnd w:id="53"/>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强化安全生产管理，严格按照安全生产规程、规范要求组织测绘生产。基础测绘成果涉及到国家安全，为有效解决数据保密性、可靠性、完整性，在推进基础地理信息资源开发利用、共建共享进程中，必须按照国家信息安全的有关规定，建立数据安全保密机制和安全措施，确保密级数据安全，促进基础测绘成果安全广泛应用。</w:t>
      </w: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hint="eastAsia"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adjustRightInd w:val="0"/>
        <w:snapToGrid w:val="0"/>
        <w:spacing w:line="560" w:lineRule="exact"/>
        <w:rPr>
          <w:rFonts w:ascii="仿宋_GB2312" w:hAnsi="仿宋_GB2312" w:eastAsia="仿宋_GB2312" w:cs="仿宋_GB2312"/>
          <w:szCs w:val="32"/>
        </w:rPr>
      </w:pPr>
    </w:p>
    <w:p>
      <w:pPr>
        <w:adjustRightInd w:val="0"/>
        <w:snapToGrid w:val="0"/>
        <w:spacing w:line="560" w:lineRule="exact"/>
        <w:ind w:firstLine="420" w:firstLineChars="200"/>
        <w:rPr>
          <w:rFonts w:ascii="仿宋_GB2312" w:hAnsi="仿宋_GB2312" w:eastAsia="仿宋_GB2312" w:cs="仿宋_GB2312"/>
          <w:szCs w:val="32"/>
        </w:rPr>
      </w:pPr>
    </w:p>
    <w:p>
      <w:pPr>
        <w:spacing w:line="560" w:lineRule="exact"/>
      </w:pPr>
    </w:p>
    <w:p>
      <w:pPr>
        <w:spacing w:line="560" w:lineRule="exact"/>
        <w:rPr>
          <w:rFonts w:hint="eastAsia"/>
        </w:rPr>
      </w:pPr>
    </w:p>
    <w:tbl>
      <w:tblPr>
        <w:tblStyle w:val="7"/>
        <w:tblpPr w:leftFromText="180" w:rightFromText="180" w:vertAnchor="text" w:horzAnchor="margin" w:tblpY="1224"/>
        <w:tblW w:w="8640"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2"/>
        <w:gridCol w:w="4108"/>
      </w:tblGrid>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40" w:type="dxa"/>
            <w:gridSpan w:val="2"/>
            <w:tcBorders>
              <w:top w:val="single" w:color="auto" w:sz="12" w:space="0"/>
              <w:left w:val="nil"/>
              <w:bottom w:val="single" w:color="auto" w:sz="4" w:space="0"/>
              <w:right w:val="nil"/>
            </w:tcBorders>
            <w:noWrap w:val="0"/>
            <w:tcMar>
              <w:top w:w="0" w:type="dxa"/>
              <w:left w:w="0" w:type="dxa"/>
              <w:bottom w:w="0" w:type="dxa"/>
              <w:right w:w="0" w:type="dxa"/>
            </w:tcMar>
            <w:vAlign w:val="top"/>
          </w:tcPr>
          <w:p>
            <w:pPr>
              <w:adjustRightInd w:val="0"/>
              <w:snapToGrid w:val="0"/>
              <w:spacing w:line="440" w:lineRule="exact"/>
              <w:ind w:firstLine="280" w:firstLineChars="100"/>
              <w:rPr>
                <w:rFonts w:ascii="仿宋_GB2312" w:hAnsi="仿宋" w:eastAsia="仿宋_GB2312"/>
                <w:sz w:val="28"/>
                <w:szCs w:val="28"/>
              </w:rPr>
            </w:pPr>
            <w:r>
              <w:rPr>
                <w:rFonts w:hint="eastAsia" w:ascii="仿宋_GB2312" w:hAnsi="仿宋" w:eastAsia="仿宋_GB2312"/>
                <w:sz w:val="28"/>
                <w:szCs w:val="28"/>
              </w:rPr>
              <w:t>抄送：</w:t>
            </w:r>
            <w:bookmarkStart w:id="54" w:name="抄送单位"/>
            <w:bookmarkEnd w:id="54"/>
            <w:r>
              <w:rPr>
                <w:rFonts w:hint="eastAsia" w:ascii="仿宋_GB2312" w:hAnsi="仿宋" w:eastAsia="仿宋_GB2312"/>
                <w:sz w:val="28"/>
                <w:szCs w:val="28"/>
              </w:rPr>
              <w:t>市委各部门。</w:t>
            </w:r>
          </w:p>
          <w:p>
            <w:pPr>
              <w:adjustRightInd w:val="0"/>
              <w:snapToGrid w:val="0"/>
              <w:spacing w:line="440" w:lineRule="exact"/>
              <w:ind w:firstLine="1120" w:firstLineChars="400"/>
              <w:rPr>
                <w:rFonts w:ascii="仿宋_GB2312" w:hAnsi="仿宋" w:eastAsia="仿宋_GB2312"/>
                <w:sz w:val="28"/>
                <w:szCs w:val="28"/>
              </w:rPr>
            </w:pPr>
            <w:r>
              <w:rPr>
                <w:rFonts w:hint="eastAsia" w:ascii="仿宋_GB2312" w:hAnsi="仿宋" w:eastAsia="仿宋_GB2312"/>
                <w:sz w:val="28"/>
                <w:szCs w:val="28"/>
              </w:rPr>
              <w:t>市人大常委会办公室、政协办公室，市监委，中级人民法</w:t>
            </w:r>
          </w:p>
          <w:p>
            <w:pPr>
              <w:adjustRightInd w:val="0"/>
              <w:snapToGrid w:val="0"/>
              <w:spacing w:line="440" w:lineRule="exact"/>
              <w:ind w:firstLine="1120" w:firstLineChars="400"/>
              <w:rPr>
                <w:rFonts w:ascii="仿宋_GB2312" w:hAnsi="仿宋" w:eastAsia="仿宋_GB2312"/>
                <w:sz w:val="28"/>
                <w:szCs w:val="28"/>
              </w:rPr>
            </w:pPr>
            <w:r>
              <w:rPr>
                <w:rFonts w:hint="eastAsia" w:ascii="仿宋_GB2312" w:hAnsi="仿宋" w:eastAsia="仿宋_GB2312"/>
                <w:sz w:val="28"/>
                <w:szCs w:val="28"/>
              </w:rPr>
              <w:t>院、人民检察院。</w:t>
            </w:r>
          </w:p>
          <w:p>
            <w:pPr>
              <w:adjustRightInd w:val="0"/>
              <w:snapToGrid w:val="0"/>
              <w:spacing w:line="440" w:lineRule="exact"/>
              <w:ind w:firstLine="1120" w:firstLineChars="400"/>
              <w:rPr>
                <w:rFonts w:ascii="仿宋_GB2312" w:hAnsi="仿宋" w:eastAsia="仿宋_GB2312"/>
                <w:sz w:val="28"/>
                <w:szCs w:val="28"/>
              </w:rPr>
            </w:pPr>
            <w:r>
              <w:rPr>
                <w:rFonts w:hint="eastAsia" w:ascii="仿宋_GB2312" w:hAnsi="仿宋" w:eastAsia="仿宋_GB2312"/>
                <w:sz w:val="28"/>
                <w:szCs w:val="28"/>
              </w:rPr>
              <w:t>各人民团体。</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2" w:type="dxa"/>
            <w:tcBorders>
              <w:top w:val="single" w:color="auto" w:sz="4" w:space="0"/>
              <w:left w:val="nil"/>
              <w:bottom w:val="single" w:color="auto" w:sz="12" w:space="0"/>
              <w:right w:val="nil"/>
            </w:tcBorders>
            <w:noWrap w:val="0"/>
            <w:tcMar>
              <w:top w:w="0" w:type="dxa"/>
              <w:left w:w="0" w:type="dxa"/>
              <w:bottom w:w="0" w:type="dxa"/>
              <w:right w:w="0" w:type="dxa"/>
            </w:tcMar>
            <w:vAlign w:val="top"/>
          </w:tcPr>
          <w:p>
            <w:pPr>
              <w:adjustRightInd w:val="0"/>
              <w:snapToGrid w:val="0"/>
              <w:spacing w:line="560" w:lineRule="exact"/>
              <w:rPr>
                <w:rFonts w:ascii="仿宋_GB2312" w:hAnsi="仿宋" w:eastAsia="仿宋_GB2312"/>
                <w:sz w:val="28"/>
                <w:szCs w:val="28"/>
              </w:rPr>
            </w:pPr>
            <w:r>
              <w:rPr>
                <w:rFonts w:hint="eastAsia" w:ascii="仿宋_GB2312" w:hAnsi="仿宋" w:eastAsia="仿宋_GB2312"/>
                <w:sz w:val="28"/>
                <w:szCs w:val="28"/>
              </w:rPr>
              <w:t xml:space="preserve">  赤峰市人民政府办公室秘书二科</w:t>
            </w:r>
          </w:p>
        </w:tc>
        <w:tc>
          <w:tcPr>
            <w:tcW w:w="4108" w:type="dxa"/>
            <w:tcBorders>
              <w:top w:val="single" w:color="auto" w:sz="4" w:space="0"/>
              <w:left w:val="nil"/>
              <w:bottom w:val="single" w:color="auto" w:sz="12" w:space="0"/>
              <w:right w:val="nil"/>
            </w:tcBorders>
            <w:noWrap w:val="0"/>
            <w:tcMar>
              <w:top w:w="0" w:type="dxa"/>
              <w:left w:w="0" w:type="dxa"/>
              <w:bottom w:w="0" w:type="dxa"/>
              <w:right w:w="0" w:type="dxa"/>
            </w:tcMar>
            <w:vAlign w:val="top"/>
          </w:tcPr>
          <w:p>
            <w:pPr>
              <w:adjustRightInd w:val="0"/>
              <w:snapToGrid w:val="0"/>
              <w:spacing w:line="560" w:lineRule="exact"/>
              <w:ind w:right="480"/>
              <w:jc w:val="right"/>
              <w:rPr>
                <w:rFonts w:ascii="仿宋_GB2312" w:hAnsi="仿宋" w:eastAsia="仿宋_GB2312"/>
                <w:sz w:val="28"/>
                <w:szCs w:val="28"/>
              </w:rPr>
            </w:pPr>
            <w:r>
              <w:rPr>
                <w:rFonts w:hint="eastAsia" w:ascii="仿宋_GB2312" w:hAnsi="仿宋" w:eastAsia="仿宋_GB2312"/>
                <w:sz w:val="28"/>
                <w:szCs w:val="28"/>
              </w:rPr>
              <w:t xml:space="preserve">  2022年</w:t>
            </w:r>
            <w:r>
              <w:rPr>
                <w:rFonts w:ascii="仿宋_GB2312" w:hAnsi="仿宋" w:eastAsia="仿宋_GB2312"/>
                <w:sz w:val="28"/>
                <w:szCs w:val="28"/>
              </w:rPr>
              <w:t>7</w:t>
            </w:r>
            <w:r>
              <w:rPr>
                <w:rFonts w:hint="eastAsia" w:ascii="仿宋_GB2312" w:hAnsi="仿宋" w:eastAsia="仿宋_GB2312"/>
                <w:sz w:val="28"/>
                <w:szCs w:val="28"/>
              </w:rPr>
              <w:t>月</w:t>
            </w:r>
            <w:r>
              <w:rPr>
                <w:rFonts w:ascii="仿宋_GB2312" w:hAnsi="仿宋" w:eastAsia="仿宋_GB2312"/>
                <w:sz w:val="28"/>
                <w:szCs w:val="28"/>
              </w:rPr>
              <w:t>19</w:t>
            </w:r>
            <w:r>
              <w:rPr>
                <w:rFonts w:hint="eastAsia" w:ascii="仿宋_GB2312" w:hAnsi="仿宋" w:eastAsia="仿宋_GB2312"/>
                <w:sz w:val="28"/>
                <w:szCs w:val="28"/>
              </w:rPr>
              <w:t>日印发</w:t>
            </w:r>
          </w:p>
        </w:tc>
      </w:tr>
    </w:tbl>
    <w:p>
      <w:pPr>
        <w:tabs>
          <w:tab w:val="left" w:pos="3150"/>
        </w:tabs>
        <w:spacing w:line="20" w:lineRule="exact"/>
        <w:rPr>
          <w:rFonts w:ascii="仿宋_GB2312" w:eastAsia="仿宋_GB2312"/>
        </w:rPr>
      </w:pPr>
      <w:r>
        <w:rPr>
          <w:rFonts w:ascii="仿宋_GB2312" w:eastAsia="仿宋_GB2312"/>
        </w:rPr>
        <w:tab/>
      </w:r>
    </w:p>
    <w:p>
      <w:pPr>
        <w:rPr>
          <w:lang w:bidi="ar"/>
        </w:rPr>
      </w:pPr>
    </w:p>
    <w:p>
      <w:pPr>
        <w:rPr>
          <w:lang w:bidi="ar"/>
        </w:rPr>
      </w:pPr>
    </w:p>
    <w:p>
      <w:pPr>
        <w:rPr>
          <w:rFonts w:hint="eastAsia"/>
          <w:lang w:bidi="ar"/>
        </w:rPr>
      </w:pPr>
    </w:p>
    <w:p/>
    <w:sectPr>
      <w:headerReference r:id="rId3" w:type="default"/>
      <w:footerReference r:id="rId5" w:type="default"/>
      <w:headerReference r:id="rId4" w:type="even"/>
      <w:footerReference r:id="rId6" w:type="even"/>
      <w:pgSz w:w="11906" w:h="16838"/>
      <w:pgMar w:top="1814" w:right="1474" w:bottom="1701"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仿宋_GB2312">
    <w:altName w:val="仿宋"/>
    <w:panose1 w:val="02010609030101010101"/>
    <w:charset w:val="86"/>
    <w:family w:val="modern"/>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page" w:x="1892" w:y="-23"/>
      <w:rPr>
        <w:rStyle w:val="9"/>
        <w:rFonts w:ascii="宋体" w:hAnsi="宋体"/>
        <w:sz w:val="28"/>
        <w:szCs w:val="28"/>
      </w:rPr>
    </w:pPr>
    <w:r>
      <w:rPr>
        <w:rStyle w:val="9"/>
        <w:rFonts w:ascii="宋体" w:hAnsi="宋体"/>
        <w:sz w:val="28"/>
        <w:szCs w:val="28"/>
      </w:rPr>
      <w:fldChar w:fldCharType="begin"/>
    </w:r>
    <w:r>
      <w:rPr>
        <w:rStyle w:val="9"/>
        <w:rFonts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- 20 -</w:t>
    </w:r>
    <w:r>
      <w:rPr>
        <w:rStyle w:val="9"/>
        <w:rFonts w:ascii="宋体" w:hAnsi="宋体"/>
        <w:sz w:val="28"/>
        <w:szCs w:val="28"/>
      </w:rP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YTFkMGRiYTAzNzE2NDMxYTI0ZGRlZDZhZTJmOWYifQ=="/>
  </w:docVars>
  <w:rsids>
    <w:rsidRoot w:val="00000000"/>
    <w:rsid w:val="4A871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6" w:lineRule="auto"/>
      <w:jc w:val="left"/>
      <w:outlineLvl w:val="0"/>
    </w:pPr>
    <w:rPr>
      <w:rFonts w:ascii="Times New Roman" w:hAnsi="Times New Roman" w:eastAsia="黑体"/>
      <w:b/>
      <w:kern w:val="44"/>
      <w:sz w:val="32"/>
      <w:szCs w:val="20"/>
    </w:rPr>
  </w:style>
  <w:style w:type="paragraph" w:styleId="3">
    <w:name w:val="heading 2"/>
    <w:basedOn w:val="1"/>
    <w:next w:val="1"/>
    <w:qFormat/>
    <w:uiPriority w:val="9"/>
    <w:pPr>
      <w:keepNext/>
      <w:keepLines/>
      <w:spacing w:before="260" w:after="260" w:line="413" w:lineRule="auto"/>
      <w:outlineLvl w:val="1"/>
    </w:pPr>
    <w:rPr>
      <w:rFonts w:ascii="Arial" w:hAnsi="Arial" w:eastAsia="楷体"/>
      <w:b/>
      <w:sz w:val="32"/>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unhideWhenUsed/>
    <w:uiPriority w:val="99"/>
    <w:pPr>
      <w:tabs>
        <w:tab w:val="center" w:pos="4153"/>
        <w:tab w:val="right" w:pos="8306"/>
      </w:tabs>
      <w:snapToGrid w:val="0"/>
      <w:jc w:val="left"/>
    </w:pPr>
    <w:rPr>
      <w:sz w:val="18"/>
      <w:szCs w:val="18"/>
    </w:rPr>
  </w:style>
  <w:style w:type="paragraph" w:styleId="5">
    <w:name w:val="header"/>
    <w:basedOn w:val="1"/>
    <w:unhideWhenUsed/>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page number"/>
    <w:uiPriority w:val="0"/>
  </w:style>
  <w:style w:type="paragraph" w:customStyle="1" w:styleId="10">
    <w:name w:val="列出段落1"/>
    <w:basedOn w:val="1"/>
    <w:qFormat/>
    <w:uiPriority w:val="1"/>
    <w:pPr>
      <w:ind w:firstLine="420" w:firstLineChars="200"/>
    </w:pPr>
    <w:rPr>
      <w:rFonts w:ascii="Times New Roman" w:hAnsi="Times New Roman" w:eastAsia="仿宋"/>
      <w:sz w:val="32"/>
      <w:szCs w:val="20"/>
    </w:rPr>
  </w:style>
  <w:style w:type="paragraph" w:customStyle="1" w:styleId="11">
    <w:name w:val="Body text|2"/>
    <w:basedOn w:val="1"/>
    <w:qFormat/>
    <w:uiPriority w:val="0"/>
    <w:pPr>
      <w:spacing w:after="180" w:line="473" w:lineRule="exact"/>
      <w:ind w:firstLine="520"/>
    </w:pPr>
    <w:rPr>
      <w:rFonts w:ascii="MingLiU" w:hAnsi="MingLiU" w:eastAsia="MingLiU" w:cs="MingLiU"/>
      <w:sz w:val="32"/>
      <w:szCs w:val="24"/>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2022-07-27T02:20:52Z</dcterms:created>
  <dc:creator>Administrator</dc:creator>
  <cp:lastModifiedBy>演示人</cp:lastModifiedBy>
  <dcterms:modified xsi:type="dcterms:W3CDTF">2022-07-27T02:21:06Z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4D9019BE5434439DA6620FA54F3AA847</vt:lpwstr>
  </property>
</Properties>
</file>