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rPr>
          <w:rFonts w:hint="eastAsia"/>
          <w:sz w:val="44"/>
        </w:rPr>
      </w:pPr>
      <w:bookmarkStart w:id="0" w:name="二维条码"/>
      <w:bookmarkEnd w:id="0"/>
    </w:p>
    <w:p>
      <w:pPr>
        <w:adjustRightInd w:val="0"/>
        <w:snapToGrid w:val="0"/>
        <w:spacing w:line="520" w:lineRule="exact"/>
        <w:rPr>
          <w:rFonts w:hint="eastAsia"/>
          <w:sz w:val="44"/>
        </w:rPr>
      </w:pPr>
    </w:p>
    <w:p>
      <w:pPr>
        <w:adjustRightInd w:val="0"/>
        <w:snapToGrid w:val="0"/>
        <w:spacing w:line="520" w:lineRule="exact"/>
        <w:rPr>
          <w:rFonts w:hint="eastAsia"/>
          <w:sz w:val="44"/>
        </w:rPr>
      </w:pPr>
      <w:bookmarkStart w:id="1" w:name="缓急"/>
      <w:bookmarkEnd w:id="1"/>
      <w:r>
        <w:rPr>
          <w:sz w:val="44"/>
        </w:rPr>
        <w:t xml:space="preserve"> </w:t>
      </w:r>
    </w:p>
    <w:p>
      <w:pPr>
        <w:adjustRightInd w:val="0"/>
        <w:snapToGrid w:val="0"/>
        <w:spacing w:line="520" w:lineRule="exact"/>
        <w:rPr>
          <w:rFonts w:hint="eastAsia" w:ascii="黑体" w:eastAsia="黑体"/>
          <w:sz w:val="32"/>
          <w:szCs w:val="32"/>
        </w:rPr>
      </w:pPr>
    </w:p>
    <w:p>
      <w:pPr>
        <w:adjustRightInd w:val="0"/>
        <w:snapToGrid w:val="0"/>
        <w:spacing w:line="520" w:lineRule="exact"/>
        <w:rPr>
          <w:rFonts w:hint="eastAsia"/>
        </w:rPr>
      </w:pPr>
    </w:p>
    <w:p>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bookmarkStart w:id="3" w:name="_GoBack"/>
      <w:r>
        <w:drawing>
          <wp:anchor distT="0" distB="0" distL="114300" distR="114300" simplePos="0" relativeHeight="251661312" behindDoc="1" locked="0" layoutInCell="1" allowOverlap="1">
            <wp:simplePos x="0" y="0"/>
            <wp:positionH relativeFrom="column">
              <wp:posOffset>57785</wp:posOffset>
            </wp:positionH>
            <wp:positionV relativeFrom="paragraph">
              <wp:posOffset>6985</wp:posOffset>
            </wp:positionV>
            <wp:extent cx="5648325" cy="2476500"/>
            <wp:effectExtent l="0" t="0" r="9525" b="0"/>
            <wp:wrapNone/>
            <wp:docPr id="2"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办发"/>
                    <pic:cNvPicPr>
                      <a:picLocks noChangeAspect="1"/>
                    </pic:cNvPicPr>
                  </pic:nvPicPr>
                  <pic:blipFill>
                    <a:blip r:embed="rId10"/>
                    <a:stretch>
                      <a:fillRect/>
                    </a:stretch>
                  </pic:blipFill>
                  <pic:spPr>
                    <a:xfrm>
                      <a:off x="0" y="0"/>
                      <a:ext cx="5648325" cy="2476500"/>
                    </a:xfrm>
                    <a:prstGeom prst="rect">
                      <a:avLst/>
                    </a:prstGeom>
                    <a:noFill/>
                    <a:ln>
                      <a:noFill/>
                    </a:ln>
                  </pic:spPr>
                </pic:pic>
              </a:graphicData>
            </a:graphic>
          </wp:anchor>
        </w:drawing>
      </w:r>
      <w:bookmarkEnd w:id="3"/>
    </w:p>
    <w:p>
      <w:pPr>
        <w:adjustRightInd w:val="0"/>
        <w:snapToGrid w:val="0"/>
        <w:spacing w:line="360" w:lineRule="auto"/>
        <w:jc w:val="center"/>
        <w:rPr>
          <w:rFonts w:hint="eastAsia" w:ascii="宋体" w:hAnsi="宋体"/>
          <w:b/>
          <w:color w:val="FF0000"/>
          <w:spacing w:val="-20"/>
          <w:w w:val="50"/>
          <w:sz w:val="32"/>
          <w:szCs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spacing w:line="600" w:lineRule="exact"/>
        <w:jc w:val="left"/>
        <w:rPr>
          <w:rFonts w:hint="eastAsia"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 w:eastAsia="仿宋_GB2312" w:cs="仿宋_GB2312"/>
          <w:sz w:val="32"/>
          <w:szCs w:val="32"/>
        </w:rPr>
        <w:t>赤政办发〔2023〕</w:t>
      </w:r>
      <w:r>
        <w:rPr>
          <w:rFonts w:ascii="仿宋_GB2312" w:hAnsi="仿宋" w:eastAsia="仿宋_GB2312" w:cs="仿宋_GB2312"/>
          <w:sz w:val="32"/>
          <w:szCs w:val="32"/>
        </w:rPr>
        <w:t>5</w:t>
      </w:r>
      <w:r>
        <w:rPr>
          <w:rFonts w:hint="eastAsia" w:ascii="仿宋_GB2312" w:hAnsi="仿宋_GB2312" w:eastAsia="仿宋_GB2312" w:cs="仿宋_GB2312"/>
          <w:sz w:val="32"/>
          <w:szCs w:val="32"/>
        </w:rPr>
        <w:t>号</w:t>
      </w:r>
    </w:p>
    <w:p>
      <w:pPr>
        <w:spacing w:line="560" w:lineRule="exact"/>
        <w:jc w:val="center"/>
        <w:rPr>
          <w:rFonts w:hint="eastAsia" w:ascii="仿宋_GB2312" w:hAnsi="仿宋_GB2312" w:eastAsia="仿宋_GB2312" w:cs="仿宋_GB2312"/>
          <w:sz w:val="32"/>
          <w:szCs w:val="32"/>
        </w:rPr>
      </w:pPr>
    </w:p>
    <w:p>
      <w:pPr>
        <w:spacing w:line="560" w:lineRule="exact"/>
        <w:jc w:val="center"/>
        <w:rPr>
          <w:rFonts w:ascii="方正小标宋简体" w:hAnsi="方正小标宋简体" w:eastAsia="方正小标宋简体" w:cs="方正小标宋简体"/>
          <w:spacing w:val="20"/>
          <w:sz w:val="44"/>
          <w:szCs w:val="44"/>
        </w:rPr>
      </w:pPr>
    </w:p>
    <w:p>
      <w:pPr>
        <w:spacing w:line="600" w:lineRule="exact"/>
        <w:jc w:val="center"/>
        <w:rPr>
          <w:rFonts w:hint="eastAsia" w:ascii="方正小标宋简体" w:hAnsi="方正小标宋简体" w:eastAsia="方正小标宋简体" w:cs="方正小标宋简体"/>
          <w:spacing w:val="20"/>
          <w:sz w:val="44"/>
          <w:szCs w:val="44"/>
        </w:rPr>
      </w:pPr>
      <w:r>
        <w:rPr>
          <w:rFonts w:hint="eastAsia" w:ascii="方正小标宋简体" w:hAnsi="方正小标宋简体" w:eastAsia="方正小标宋简体" w:cs="方正小标宋简体"/>
          <w:spacing w:val="20"/>
          <w:sz w:val="44"/>
          <w:szCs w:val="44"/>
        </w:rPr>
        <w:t>赤峰市人民政府办公室关于印发</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《赤峰市工业园区考核评价办法</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（2022年修订）》的通知</w:t>
      </w:r>
    </w:p>
    <w:p>
      <w:pPr>
        <w:spacing w:line="600" w:lineRule="exact"/>
        <w:jc w:val="center"/>
        <w:rPr>
          <w:rFonts w:hint="eastAsia" w:ascii="方正小标宋简体" w:hAnsi="方正小标宋简体" w:eastAsia="方正小标宋简体" w:cs="方正小标宋简体"/>
          <w:sz w:val="44"/>
          <w:szCs w:val="44"/>
        </w:rPr>
      </w:pPr>
    </w:p>
    <w:p>
      <w:pPr>
        <w:spacing w:line="600" w:lineRule="exact"/>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各旗县区人民政府，市</w:t>
      </w:r>
      <w:r>
        <w:rPr>
          <w:rFonts w:ascii="仿宋_GB2312" w:hAnsi="仿宋" w:eastAsia="仿宋_GB2312" w:cs="仿宋_GB2312"/>
          <w:sz w:val="32"/>
          <w:szCs w:val="32"/>
        </w:rPr>
        <w:t>发展改革委</w:t>
      </w:r>
      <w:r>
        <w:rPr>
          <w:rFonts w:hint="eastAsia" w:ascii="仿宋_GB2312" w:hAnsi="仿宋" w:eastAsia="仿宋_GB2312" w:cs="仿宋_GB2312"/>
          <w:sz w:val="32"/>
          <w:szCs w:val="32"/>
        </w:rPr>
        <w:t>、科技局、工业和信息化局、财政局、自然资源局、生态环境局、应急局、市场监管局、统计局、区域经济合作局</w:t>
      </w:r>
      <w:r>
        <w:rPr>
          <w:rFonts w:ascii="仿宋_GB2312" w:hAnsi="仿宋" w:eastAsia="仿宋_GB2312" w:cs="仿宋_GB2312"/>
          <w:sz w:val="32"/>
          <w:szCs w:val="32"/>
        </w:rPr>
        <w:t>，</w:t>
      </w:r>
      <w:r>
        <w:rPr>
          <w:rFonts w:hint="eastAsia" w:ascii="仿宋_GB2312" w:hAnsi="仿宋" w:eastAsia="仿宋_GB2312" w:cs="仿宋_GB2312"/>
          <w:sz w:val="32"/>
          <w:szCs w:val="32"/>
        </w:rPr>
        <w:t>国家税务总局赤峰市税务局，各工业开发区管委会：</w:t>
      </w:r>
    </w:p>
    <w:p>
      <w:pPr>
        <w:spacing w:line="60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经市政府同意，现将《赤峰市工业园区考核评价办法（2022年修订）》印发给你们，请结合实际，认真贯彻落实。</w:t>
      </w:r>
    </w:p>
    <w:p>
      <w:pPr>
        <w:spacing w:line="600" w:lineRule="exact"/>
        <w:ind w:right="640"/>
        <w:rPr>
          <w:rFonts w:ascii="仿宋_GB2312" w:hAnsi="仿宋" w:eastAsia="仿宋_GB2312" w:cs="仿宋_GB2312"/>
          <w:sz w:val="32"/>
          <w:szCs w:val="32"/>
        </w:rPr>
      </w:pPr>
    </w:p>
    <w:p>
      <w:pPr>
        <w:spacing w:line="600" w:lineRule="exact"/>
        <w:ind w:right="640"/>
        <w:rPr>
          <w:rFonts w:ascii="仿宋_GB2312" w:hAnsi="仿宋" w:eastAsia="仿宋_GB2312" w:cs="仿宋_GB2312"/>
          <w:sz w:val="32"/>
          <w:szCs w:val="32"/>
        </w:rPr>
      </w:pPr>
    </w:p>
    <w:p>
      <w:pPr>
        <w:spacing w:line="600" w:lineRule="exact"/>
        <w:ind w:right="640"/>
        <w:rPr>
          <w:rFonts w:ascii="仿宋_GB2312" w:hAnsi="仿宋" w:eastAsia="仿宋_GB2312" w:cs="仿宋_GB2312"/>
          <w:sz w:val="32"/>
          <w:szCs w:val="32"/>
        </w:rPr>
      </w:pPr>
    </w:p>
    <w:p>
      <w:pPr>
        <w:spacing w:line="600" w:lineRule="exact"/>
        <w:ind w:right="640" w:firstLine="5120" w:firstLineChars="1600"/>
        <w:rPr>
          <w:rFonts w:hint="eastAsia" w:ascii="仿宋_GB2312" w:hAnsi="仿宋" w:eastAsia="仿宋_GB2312" w:cs="仿宋_GB2312"/>
          <w:color w:val="333333"/>
          <w:sz w:val="32"/>
          <w:szCs w:val="32"/>
          <w:shd w:val="clear" w:color="auto" w:fill="FFFFFF"/>
        </w:rPr>
      </w:pPr>
      <w:r>
        <w:rPr>
          <w:rFonts w:hint="eastAsia" w:ascii="仿宋_GB2312" w:hAnsi="仿宋" w:eastAsia="仿宋_GB2312" w:cs="仿宋_GB2312"/>
          <w:sz w:val="32"/>
          <w:szCs w:val="32"/>
        </w:rPr>
        <w:t>202</w:t>
      </w:r>
      <w:r>
        <w:rPr>
          <w:rFonts w:ascii="仿宋_GB2312" w:hAnsi="仿宋" w:eastAsia="仿宋_GB2312" w:cs="仿宋_GB2312"/>
          <w:sz w:val="32"/>
          <w:szCs w:val="32"/>
        </w:rPr>
        <w:t>3</w:t>
      </w:r>
      <w:r>
        <w:rPr>
          <w:rFonts w:hint="eastAsia" w:ascii="仿宋_GB2312" w:hAnsi="仿宋" w:eastAsia="仿宋_GB2312" w:cs="仿宋_GB2312"/>
          <w:sz w:val="32"/>
          <w:szCs w:val="32"/>
        </w:rPr>
        <w:t>年1月</w:t>
      </w:r>
      <w:r>
        <w:rPr>
          <w:rFonts w:ascii="仿宋_GB2312" w:hAnsi="仿宋" w:eastAsia="仿宋_GB2312" w:cs="仿宋_GB2312"/>
          <w:sz w:val="32"/>
          <w:szCs w:val="32"/>
        </w:rPr>
        <w:t>11</w:t>
      </w:r>
      <w:r>
        <w:rPr>
          <w:rFonts w:hint="eastAsia" w:ascii="仿宋_GB2312" w:hAnsi="仿宋" w:eastAsia="仿宋_GB2312" w:cs="仿宋_GB2312"/>
          <w:sz w:val="32"/>
          <w:szCs w:val="32"/>
        </w:rPr>
        <w:t xml:space="preserve">日 </w:t>
      </w:r>
      <w:r>
        <w:rPr>
          <w:rFonts w:hint="eastAsia" w:ascii="仿宋_GB2312" w:hAnsi="仿宋" w:eastAsia="仿宋_GB2312" w:cs="仿宋_GB2312"/>
          <w:color w:val="333333"/>
          <w:sz w:val="32"/>
          <w:szCs w:val="32"/>
          <w:shd w:val="clear" w:color="auto" w:fill="FFFFFF"/>
        </w:rPr>
        <w:t xml:space="preserve"> </w:t>
      </w:r>
    </w:p>
    <w:p>
      <w:pPr>
        <w:spacing w:line="600" w:lineRule="exact"/>
        <w:ind w:firstLine="640" w:firstLineChars="200"/>
        <w:rPr>
          <w:rFonts w:hint="eastAsia" w:ascii="仿宋_GB2312" w:hAnsi="仿宋" w:eastAsia="仿宋_GB2312"/>
        </w:rPr>
      </w:pPr>
      <w:r>
        <w:rPr>
          <w:rFonts w:hint="eastAsia" w:ascii="仿宋_GB2312" w:hAnsi="仿宋" w:eastAsia="仿宋_GB2312" w:cs="仿宋_GB2312"/>
          <w:sz w:val="32"/>
          <w:szCs w:val="32"/>
        </w:rPr>
        <w:t>（此件公开发布）</w:t>
      </w:r>
    </w:p>
    <w:p>
      <w:pPr>
        <w:spacing w:line="560" w:lineRule="exact"/>
        <w:rPr>
          <w:rFonts w:ascii="仿宋_GB2312" w:hAnsi="仿宋" w:eastAsia="仿宋_GB2312" w:cs="黑体"/>
          <w:sz w:val="44"/>
          <w:szCs w:val="44"/>
        </w:rPr>
      </w:pPr>
    </w:p>
    <w:p>
      <w:pPr>
        <w:spacing w:line="560" w:lineRule="exact"/>
        <w:rPr>
          <w:rFonts w:ascii="仿宋_GB2312" w:hAnsi="仿宋" w:eastAsia="仿宋_GB2312" w:cs="黑体"/>
          <w:sz w:val="44"/>
          <w:szCs w:val="44"/>
        </w:rPr>
      </w:pPr>
    </w:p>
    <w:p>
      <w:pPr>
        <w:spacing w:line="560" w:lineRule="exact"/>
        <w:rPr>
          <w:rFonts w:ascii="仿宋_GB2312" w:hAnsi="仿宋" w:eastAsia="仿宋_GB2312" w:cs="黑体"/>
          <w:sz w:val="44"/>
          <w:szCs w:val="44"/>
        </w:rPr>
      </w:pPr>
    </w:p>
    <w:p>
      <w:pPr>
        <w:spacing w:line="560" w:lineRule="exact"/>
        <w:rPr>
          <w:rFonts w:ascii="仿宋_GB2312" w:hAnsi="仿宋" w:eastAsia="仿宋_GB2312" w:cs="黑体"/>
          <w:sz w:val="44"/>
          <w:szCs w:val="44"/>
        </w:rPr>
      </w:pPr>
    </w:p>
    <w:p>
      <w:pPr>
        <w:spacing w:line="560" w:lineRule="exact"/>
        <w:rPr>
          <w:rFonts w:hint="eastAsia" w:ascii="黑体" w:hAnsi="黑体" w:eastAsia="黑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ascii="方正小标宋简体" w:hAnsi="黑体" w:eastAsia="方正小标宋简体" w:cs="黑体"/>
          <w:sz w:val="44"/>
          <w:szCs w:val="44"/>
        </w:rPr>
      </w:pPr>
    </w:p>
    <w:p>
      <w:pPr>
        <w:spacing w:line="560" w:lineRule="exact"/>
        <w:jc w:val="center"/>
        <w:rPr>
          <w:rFonts w:hint="eastAsia" w:ascii="方正小标宋简体" w:hAnsi="黑体" w:eastAsia="方正小标宋简体" w:cs="黑体"/>
          <w:sz w:val="44"/>
          <w:szCs w:val="44"/>
        </w:rPr>
      </w:pPr>
      <w:r>
        <w:rPr>
          <w:rFonts w:hint="eastAsia" w:ascii="方正小标宋简体" w:hAnsi="黑体" w:eastAsia="方正小标宋简体" w:cs="黑体"/>
          <w:sz w:val="44"/>
          <w:szCs w:val="44"/>
        </w:rPr>
        <w:t>赤峰市工业园区考核评价办法</w:t>
      </w:r>
    </w:p>
    <w:p>
      <w:pPr>
        <w:spacing w:line="560" w:lineRule="exact"/>
        <w:jc w:val="center"/>
        <w:rPr>
          <w:rFonts w:hint="eastAsia" w:ascii="黑体" w:hAnsi="黑体" w:eastAsia="黑体" w:cs="黑体"/>
          <w:sz w:val="44"/>
          <w:szCs w:val="44"/>
        </w:rPr>
      </w:pPr>
      <w:r>
        <w:rPr>
          <w:rFonts w:hint="eastAsia" w:ascii="方正小标宋简体" w:hAnsi="黑体" w:eastAsia="方正小标宋简体" w:cs="黑体"/>
          <w:sz w:val="44"/>
          <w:szCs w:val="44"/>
        </w:rPr>
        <w:t>（</w:t>
      </w:r>
      <w:r>
        <w:rPr>
          <w:rFonts w:hint="eastAsia" w:ascii="方正小标宋简体" w:hAnsi="方正小标宋简体" w:eastAsia="方正小标宋简体" w:cs="方正小标宋简体"/>
          <w:sz w:val="44"/>
          <w:szCs w:val="44"/>
        </w:rPr>
        <w:t>2022</w:t>
      </w:r>
      <w:r>
        <w:rPr>
          <w:rFonts w:hint="eastAsia" w:ascii="方正小标宋简体" w:hAnsi="黑体" w:eastAsia="方正小标宋简体" w:cs="黑体"/>
          <w:sz w:val="44"/>
          <w:szCs w:val="44"/>
        </w:rPr>
        <w:t>年修订）</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为促进工业园区高质量发展，充分发挥工业园区在区域经济发展和产业转型升级中的重要支撑作用，依据《内蒙古自治区人民政府关于促进工业园区高质量发展的若干意见》（内政发〔2019〕21号）和《内蒙古自治区工业和信息化厅关于印发〈内蒙古自治区工业园区发展水平考核评价办法（试行）〉的通知》（内</w:t>
      </w:r>
      <w:r>
        <w:rPr>
          <w:rFonts w:ascii="仿宋_GB2312" w:hAnsi="仿宋" w:eastAsia="仿宋_GB2312" w:cs="仿宋_GB2312"/>
          <w:sz w:val="32"/>
          <w:szCs w:val="32"/>
        </w:rPr>
        <w:t>工信</w:t>
      </w:r>
      <w:r>
        <w:rPr>
          <w:rFonts w:hint="eastAsia" w:ascii="仿宋_GB2312" w:hAnsi="仿宋" w:eastAsia="仿宋_GB2312" w:cs="仿宋_GB2312"/>
          <w:sz w:val="32"/>
          <w:szCs w:val="32"/>
        </w:rPr>
        <w:t>园区字〔20</w:t>
      </w:r>
      <w:r>
        <w:rPr>
          <w:rFonts w:ascii="仿宋_GB2312" w:hAnsi="仿宋" w:eastAsia="仿宋_GB2312" w:cs="仿宋_GB2312"/>
          <w:sz w:val="32"/>
          <w:szCs w:val="32"/>
        </w:rPr>
        <w:t>22</w:t>
      </w:r>
      <w:r>
        <w:rPr>
          <w:rFonts w:hint="eastAsia" w:ascii="仿宋_GB2312" w:hAnsi="仿宋" w:eastAsia="仿宋_GB2312" w:cs="仿宋_GB2312"/>
          <w:sz w:val="32"/>
          <w:szCs w:val="32"/>
        </w:rPr>
        <w:t>〕</w:t>
      </w:r>
      <w:r>
        <w:rPr>
          <w:rFonts w:ascii="仿宋_GB2312" w:hAnsi="仿宋" w:eastAsia="仿宋_GB2312" w:cs="仿宋_GB2312"/>
          <w:sz w:val="32"/>
          <w:szCs w:val="32"/>
        </w:rPr>
        <w:t>408</w:t>
      </w:r>
      <w:r>
        <w:rPr>
          <w:rFonts w:hint="eastAsia" w:ascii="仿宋_GB2312" w:hAnsi="仿宋" w:eastAsia="仿宋_GB2312" w:cs="仿宋_GB2312"/>
          <w:sz w:val="32"/>
          <w:szCs w:val="32"/>
        </w:rPr>
        <w:t>号），结合赤峰市实际，制定本办法。</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一、评价范围</w:t>
      </w:r>
    </w:p>
    <w:p>
      <w:pPr>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考核评价范围包括全市5个工业开发区及其所辖的11个产业园，分别为：赤峰高新技术产业开发区及其所辖的东山产业园、红山产业园、元宝山产业园、松山产业园，赤峰冶金化工开发区及其所辖的克什克腾产业园、巴林右旗产业园，赤峰有色金属开发区及其所辖的林西产业园、林东产业园，赤峰农畜产品开发区及其所辖的翁牛特旗产业园、敖汉产业园，以及赤峰承接产业转移开发区（宁城产业园）。</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二、评价原则</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olor w:val="000000"/>
          <w:sz w:val="32"/>
          <w:szCs w:val="32"/>
        </w:rPr>
        <w:t>（一）坚持全面性与导向性相结合。</w:t>
      </w:r>
      <w:r>
        <w:rPr>
          <w:rFonts w:hint="eastAsia" w:ascii="仿宋_GB2312" w:hAnsi="仿宋" w:eastAsia="仿宋_GB2312" w:cs="仿宋_GB2312"/>
          <w:bCs/>
          <w:color w:val="000000"/>
          <w:kern w:val="0"/>
          <w:sz w:val="32"/>
          <w:szCs w:val="32"/>
          <w:shd w:val="clear" w:color="auto" w:fill="FFFFFF"/>
        </w:rPr>
        <w:t>考评指标设置统筹兼顾、相互联系、各有侧重，体现发展规模、质量效益和可持续发展相统一。</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olor w:val="000000"/>
          <w:sz w:val="32"/>
          <w:szCs w:val="32"/>
        </w:rPr>
        <w:t>（二）坚持年终考核与动态管理相结合。</w:t>
      </w:r>
      <w:r>
        <w:rPr>
          <w:rFonts w:hint="eastAsia" w:ascii="仿宋_GB2312" w:hAnsi="仿宋" w:eastAsia="仿宋_GB2312" w:cs="仿宋_GB2312"/>
          <w:bCs/>
          <w:color w:val="000000"/>
          <w:kern w:val="0"/>
          <w:sz w:val="32"/>
          <w:szCs w:val="32"/>
          <w:shd w:val="clear" w:color="auto" w:fill="FFFFFF"/>
        </w:rPr>
        <w:t xml:space="preserve">对考评指标进行日常调度和监测，并将日常运行情况同年终考核相结合。 </w:t>
      </w:r>
    </w:p>
    <w:p>
      <w:pPr>
        <w:spacing w:line="560" w:lineRule="exact"/>
        <w:ind w:firstLine="640" w:firstLineChars="200"/>
        <w:rPr>
          <w:rFonts w:hint="eastAsia" w:ascii="仿宋_GB2312" w:hAnsi="仿宋" w:eastAsia="仿宋_GB2312" w:cs="仿宋_GB2312"/>
          <w:sz w:val="32"/>
          <w:szCs w:val="32"/>
        </w:rPr>
      </w:pPr>
      <w:r>
        <w:rPr>
          <w:rFonts w:hint="eastAsia" w:ascii="楷体_GB2312" w:hAnsi="楷体" w:eastAsia="楷体_GB2312"/>
          <w:color w:val="000000"/>
          <w:sz w:val="32"/>
          <w:szCs w:val="32"/>
        </w:rPr>
        <w:t>（三）坚持定性考核与定量考核相结合。</w:t>
      </w:r>
      <w:r>
        <w:rPr>
          <w:rFonts w:hint="eastAsia" w:ascii="仿宋_GB2312" w:hAnsi="仿宋" w:eastAsia="仿宋_GB2312" w:cs="仿宋_GB2312"/>
          <w:bCs/>
          <w:color w:val="000000"/>
          <w:kern w:val="0"/>
          <w:sz w:val="32"/>
          <w:szCs w:val="32"/>
          <w:shd w:val="clear" w:color="auto" w:fill="FFFFFF"/>
        </w:rPr>
        <w:t>既坚持量化考核，又兼顾定性评价；既评价发展现状，又评价发展趋势；既计算综合指标，又计算分类指标</w:t>
      </w:r>
      <w:r>
        <w:rPr>
          <w:rFonts w:hint="eastAsia" w:ascii="仿宋_GB2312" w:hAnsi="仿宋" w:eastAsia="仿宋_GB2312" w:cs="仿宋_GB2312"/>
          <w:sz w:val="32"/>
          <w:szCs w:val="32"/>
        </w:rPr>
        <w:t>。</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s="黑体"/>
          <w:sz w:val="32"/>
          <w:szCs w:val="32"/>
        </w:rPr>
        <w:t>三、</w:t>
      </w:r>
      <w:r>
        <w:rPr>
          <w:rFonts w:hint="eastAsia" w:ascii="黑体" w:hAnsi="黑体" w:eastAsia="黑体"/>
          <w:color w:val="000000"/>
          <w:sz w:val="32"/>
          <w:szCs w:val="32"/>
        </w:rPr>
        <w:t>评价内容</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产业园的评价内容包括发展进步、亩均效益、绿色低碳、科技创新、招商引资、基础设施建设6类一级指标、27项二级指标。开发区的评价内容设置1项综合实力评价，其评价得分为所辖产业园综合得分的算术平均分。</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s="Times New Roman"/>
          <w:color w:val="000000"/>
          <w:sz w:val="32"/>
          <w:szCs w:val="32"/>
        </w:rPr>
        <w:t>（一）发展进步。</w:t>
      </w:r>
      <w:r>
        <w:rPr>
          <w:rFonts w:hint="eastAsia" w:ascii="仿宋_GB2312" w:hAnsi="仿宋" w:eastAsia="仿宋_GB2312" w:cs="仿宋_GB2312"/>
          <w:bCs/>
          <w:color w:val="000000"/>
          <w:kern w:val="0"/>
          <w:sz w:val="32"/>
          <w:szCs w:val="32"/>
          <w:shd w:val="clear" w:color="auto" w:fill="FFFFFF"/>
        </w:rPr>
        <w:t>包含7个二级指标，主要反映当年规上工业总产值、规上工业总产值增速、工业固定资产投资、工业固定资产投资增速、税收总额、税收总额增速、园区发生较大以上安全生产事件等方面情况。</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s="Times New Roman"/>
          <w:color w:val="000000"/>
          <w:sz w:val="32"/>
          <w:szCs w:val="32"/>
        </w:rPr>
        <w:t>（二）亩均效益。</w:t>
      </w:r>
      <w:r>
        <w:rPr>
          <w:rFonts w:hint="eastAsia" w:ascii="仿宋_GB2312" w:hAnsi="仿宋" w:eastAsia="仿宋_GB2312" w:cs="仿宋_GB2312"/>
          <w:bCs/>
          <w:color w:val="000000"/>
          <w:kern w:val="0"/>
          <w:sz w:val="32"/>
          <w:szCs w:val="32"/>
          <w:shd w:val="clear" w:color="auto" w:fill="FFFFFF"/>
        </w:rPr>
        <w:t>包含3个二级指标，主要反映单位土地面积规上工业增加值、单位土地面积税收贡献、单位土地面积累计工业固定资产投资等方面情况。</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s="Times New Roman"/>
          <w:color w:val="000000"/>
          <w:sz w:val="32"/>
          <w:szCs w:val="32"/>
        </w:rPr>
        <w:t>（三）绿色低碳。</w:t>
      </w:r>
      <w:r>
        <w:rPr>
          <w:rFonts w:hint="eastAsia" w:ascii="仿宋_GB2312" w:hAnsi="仿宋" w:eastAsia="仿宋_GB2312" w:cs="仿宋_GB2312"/>
          <w:bCs/>
          <w:color w:val="000000"/>
          <w:kern w:val="0"/>
          <w:sz w:val="32"/>
          <w:szCs w:val="32"/>
          <w:shd w:val="clear" w:color="auto" w:fill="FFFFFF"/>
        </w:rPr>
        <w:t>包含4个二级指标，主要反映单位工业增加值能耗降低率、单位工业增加值水耗降低率、生态环境治理水平、园区发生较大以上突发污染事件等方面情况。</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s="Times New Roman"/>
          <w:color w:val="000000"/>
          <w:sz w:val="32"/>
          <w:szCs w:val="32"/>
        </w:rPr>
        <w:t>（四）科技创新。</w:t>
      </w:r>
      <w:r>
        <w:rPr>
          <w:rFonts w:hint="eastAsia" w:ascii="仿宋_GB2312" w:hAnsi="仿宋" w:eastAsia="仿宋_GB2312" w:cs="仿宋_GB2312"/>
          <w:bCs/>
          <w:color w:val="000000"/>
          <w:kern w:val="0"/>
          <w:sz w:val="32"/>
          <w:szCs w:val="32"/>
          <w:shd w:val="clear" w:color="auto" w:fill="FFFFFF"/>
        </w:rPr>
        <w:t>包含6个二级指标，主要反映规上工业企业研发费用占营业收入比重，新获批自治区级以上研发机构数量（包括新获批自治区级以上重点实验室、工程技术研究中心、企业研发中心、企业技术中心、孵化器、众创空间数量），年度发明专利授权量，高新技术企业产值占园区工业总产值比重，智慧园区建设水平，新获批自治区级以上高新技术企业、科技型中小企业、专精特新企业数量等方面情况。</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s="楷体"/>
          <w:color w:val="000000"/>
          <w:kern w:val="0"/>
          <w:sz w:val="32"/>
          <w:szCs w:val="32"/>
          <w:shd w:val="clear" w:color="auto" w:fill="FFFFFF"/>
        </w:rPr>
        <w:t>（五）招商引资。</w:t>
      </w:r>
      <w:r>
        <w:rPr>
          <w:rFonts w:hint="eastAsia" w:ascii="仿宋_GB2312" w:hAnsi="仿宋" w:eastAsia="仿宋_GB2312" w:cs="仿宋_GB2312"/>
          <w:bCs/>
          <w:color w:val="000000"/>
          <w:kern w:val="0"/>
          <w:sz w:val="32"/>
          <w:szCs w:val="32"/>
          <w:shd w:val="clear" w:color="auto" w:fill="FFFFFF"/>
        </w:rPr>
        <w:t>包含4个二级指标，主要反映新入园开工项目数（含新入驻标准化厂房的项目）、新入园开工项目完成投资额（含新入驻标准化厂房项目的设备投资额）、新引进中国五百强企业、新引进中国民营五百强企业等方面情况。</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楷体_GB2312" w:hAnsi="楷体" w:eastAsia="楷体_GB2312" w:cs="楷体"/>
          <w:color w:val="000000"/>
          <w:kern w:val="0"/>
          <w:sz w:val="32"/>
          <w:szCs w:val="32"/>
          <w:shd w:val="clear" w:color="auto" w:fill="FFFFFF"/>
        </w:rPr>
        <w:t>（六）基础设施建设。</w:t>
      </w:r>
      <w:r>
        <w:rPr>
          <w:rFonts w:hint="eastAsia" w:ascii="仿宋_GB2312" w:hAnsi="仿宋" w:eastAsia="仿宋_GB2312" w:cs="仿宋_GB2312"/>
          <w:bCs/>
          <w:color w:val="000000"/>
          <w:kern w:val="0"/>
          <w:sz w:val="32"/>
          <w:szCs w:val="32"/>
          <w:shd w:val="clear" w:color="auto" w:fill="FFFFFF"/>
        </w:rPr>
        <w:t>包含3个二级指标，主要反映年底园区路网密度，新增基础设施建设投资完成总额，公用固废渣场、污水处理厂、集中供热保障度等方面情况。</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四、指标数据来源</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一）当年规上工业总产值、当年规上工业总产值增速、当年工业固定资产投资、当年工业固定资产投资增速、单位工业增加值能耗降低率、单位工业增加值水耗降低率、规上工业企业研发费用占营业收入比重、高新技术企业产值占园区工业总产值比重、规上新入园开工项目完成投资（含新入驻标准化厂房项目的设备投资）等指标数据由市统计局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（二）当年税收总额、当年税收总额增速指标数据由</w:t>
      </w:r>
      <w:r>
        <w:rPr>
          <w:rFonts w:hint="eastAsia" w:ascii="仿宋_GB2312" w:hAnsi="仿宋" w:eastAsia="仿宋_GB2312" w:cs="仿宋_GB2312"/>
          <w:sz w:val="32"/>
          <w:szCs w:val="32"/>
        </w:rPr>
        <w:t>国家税务总局赤峰市税务局</w:t>
      </w:r>
      <w:r>
        <w:rPr>
          <w:rFonts w:hint="eastAsia" w:ascii="仿宋_GB2312" w:hAnsi="仿宋_GB2312" w:eastAsia="仿宋_GB2312" w:cs="仿宋_GB2312"/>
          <w:bCs/>
          <w:color w:val="000000"/>
          <w:kern w:val="0"/>
          <w:sz w:val="32"/>
          <w:szCs w:val="32"/>
          <w:shd w:val="clear" w:color="auto" w:fill="FFFFFF"/>
        </w:rPr>
        <w:t>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（三）园区内发生较大以上安全生产事件由市应急局提供。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（四）土地面积指标数据由市自然资源局会同市统计局、</w:t>
      </w:r>
      <w:r>
        <w:rPr>
          <w:rFonts w:hint="eastAsia" w:ascii="仿宋_GB2312" w:hAnsi="仿宋" w:eastAsia="仿宋_GB2312" w:cs="仿宋_GB2312"/>
          <w:sz w:val="32"/>
          <w:szCs w:val="32"/>
        </w:rPr>
        <w:t>国家税务总局赤峰市税务局</w:t>
      </w:r>
      <w:r>
        <w:rPr>
          <w:rFonts w:hint="eastAsia" w:ascii="仿宋_GB2312" w:hAnsi="仿宋_GB2312" w:eastAsia="仿宋_GB2312" w:cs="仿宋_GB2312"/>
          <w:bCs/>
          <w:color w:val="000000"/>
          <w:kern w:val="0"/>
          <w:sz w:val="32"/>
          <w:szCs w:val="32"/>
          <w:shd w:val="clear" w:color="auto" w:fill="FFFFFF"/>
        </w:rPr>
        <w:t>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（五）生态环境治理水平、园区发生较大或重特大突发污染事件指标数据由市生态环境局提供。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（六）新获批自治区级以上重点实验室、企业研发中心、孵化器、众创空间数量、高新技术企业、科技型中小企业名单指标数据由市科技局提供。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（七）新获批工程研究中心和国家级企业技术中心指标由市发展改革委提供。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八）新获批自治区级以上专精特新企业数量、企业技术中心、智慧工业园区建设水平、年底园区路网密度、新增基础设施建设投资完成总额，公用固废渣场、污水处理厂、集中供热保障度指标数据由市工业和信息化局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（九）年度新增发明专利授权量由市市场监管局提供。</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仿宋_GB2312" w:hAnsi="仿宋_GB2312" w:eastAsia="仿宋_GB2312" w:cs="仿宋_GB2312"/>
          <w:bCs/>
          <w:color w:val="000000"/>
          <w:kern w:val="0"/>
          <w:sz w:val="32"/>
          <w:szCs w:val="32"/>
          <w:shd w:val="clear" w:color="auto" w:fill="FFFFFF"/>
        </w:rPr>
        <w:t>（十）新入园项目数（含新入驻标准化厂房项目）、规下新入园项目完成投资额（含新入驻标准化厂房项目的设备投资额），新引进中国五百强企业、中国民营五百强企业指标数据由市区域经济合作局提供。</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上述指标反映的是上一年度1月1日至12月31日（报告期）期间工业园区的发展情况，其数据单位工业增加值水耗降低率采用年中数据，其他指标采用上一年度截止到12月31日的数据。</w:t>
      </w:r>
    </w:p>
    <w:p>
      <w:pPr>
        <w:spacing w:line="560" w:lineRule="exact"/>
        <w:ind w:firstLine="640" w:firstLineChars="200"/>
        <w:rPr>
          <w:rFonts w:hint="eastAsia" w:ascii="黑体" w:hAnsi="黑体" w:eastAsia="黑体"/>
          <w:color w:val="000000"/>
          <w:sz w:val="32"/>
          <w:szCs w:val="32"/>
        </w:rPr>
      </w:pPr>
      <w:r>
        <w:rPr>
          <w:rFonts w:hint="eastAsia" w:ascii="黑体" w:hAnsi="黑体" w:eastAsia="黑体" w:cs="黑体"/>
          <w:sz w:val="32"/>
          <w:szCs w:val="32"/>
        </w:rPr>
        <w:t>五、</w:t>
      </w:r>
      <w:r>
        <w:rPr>
          <w:rFonts w:hint="eastAsia" w:ascii="黑体" w:hAnsi="黑体" w:eastAsia="黑体"/>
          <w:color w:val="000000"/>
          <w:sz w:val="32"/>
          <w:szCs w:val="32"/>
        </w:rPr>
        <w:t>评价程序</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每年2月，对上年度各工业园区发展情况开展综合考核评价，由赤峰市加快工业园区建设工作领导小组办公室负责组织实施。具体实施步骤如下:</w:t>
      </w:r>
    </w:p>
    <w:p>
      <w:pPr>
        <w:spacing w:line="560" w:lineRule="exact"/>
        <w:ind w:firstLine="640" w:firstLineChars="200"/>
        <w:rPr>
          <w:rFonts w:hint="eastAsia" w:ascii="仿宋_GB2312" w:hAnsi="仿宋_GB2312" w:eastAsia="仿宋_GB2312" w:cs="仿宋_GB2312"/>
        </w:rPr>
      </w:pPr>
      <w:r>
        <w:rPr>
          <w:rFonts w:hint="eastAsia" w:ascii="楷体_GB2312" w:hAnsi="楷体" w:eastAsia="楷体_GB2312" w:cs="楷体"/>
          <w:color w:val="000000"/>
          <w:kern w:val="0"/>
          <w:sz w:val="32"/>
          <w:szCs w:val="32"/>
          <w:shd w:val="clear" w:color="auto" w:fill="FFFFFF"/>
        </w:rPr>
        <w:t>（一）上报数据</w:t>
      </w:r>
      <w:r>
        <w:rPr>
          <w:rFonts w:hint="eastAsia" w:ascii="楷体_GB2312" w:hAnsi="仿宋" w:eastAsia="楷体_GB2312" w:cs="仿宋_GB2312"/>
          <w:color w:val="000000"/>
          <w:kern w:val="0"/>
          <w:sz w:val="32"/>
          <w:szCs w:val="32"/>
          <w:shd w:val="clear" w:color="auto" w:fill="FFFFFF"/>
        </w:rPr>
        <w:t>。</w:t>
      </w:r>
      <w:r>
        <w:rPr>
          <w:rFonts w:hint="eastAsia" w:ascii="仿宋_GB2312" w:hAnsi="仿宋_GB2312" w:eastAsia="仿宋_GB2312" w:cs="仿宋_GB2312"/>
          <w:bCs/>
          <w:color w:val="000000"/>
          <w:kern w:val="0"/>
          <w:sz w:val="32"/>
          <w:szCs w:val="32"/>
          <w:shd w:val="clear" w:color="auto" w:fill="FFFFFF"/>
        </w:rPr>
        <w:t>各开发区、产业园联合所在旗县区统计局、发展改革委、自然资源局、生态环境局、应急局、税务局等有关部门，按照考核评价指标的有关要求，组织填报考核评价数据及相关审核材料，在规定时间将装订成册的考评材料送至赤峰市加快工业园区建设工作领导小组办公室（市工业和信息化局）。市高新区东山产业园数据由高新区和市级部门对碰后进行上报。虚报、瞒报数据及不按要求上报审核材料的，将视情节对其总分给予一定扣减。</w:t>
      </w:r>
    </w:p>
    <w:p>
      <w:pPr>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楷体_GB2312" w:hAnsi="楷体" w:eastAsia="楷体_GB2312" w:cs="楷体"/>
          <w:color w:val="000000"/>
          <w:kern w:val="0"/>
          <w:sz w:val="32"/>
          <w:szCs w:val="32"/>
          <w:shd w:val="clear" w:color="auto" w:fill="FFFFFF"/>
        </w:rPr>
        <w:t>（二）组织考评。</w:t>
      </w:r>
      <w:r>
        <w:rPr>
          <w:rFonts w:hint="eastAsia" w:ascii="仿宋_GB2312" w:hAnsi="仿宋_GB2312" w:eastAsia="仿宋_GB2312" w:cs="仿宋_GB2312"/>
          <w:bCs/>
          <w:color w:val="000000"/>
          <w:kern w:val="0"/>
          <w:sz w:val="32"/>
          <w:szCs w:val="32"/>
          <w:shd w:val="clear" w:color="auto" w:fill="FFFFFF"/>
        </w:rPr>
        <w:t>赤峰市加快工业园区建设工作领导小组办公室会同有关成员单位组成考评组，市直相关部门按照指标数据责任分工提供相关数据及证明材料。考评组及市直有关部门采取数据对碰方式对开发区、产业园上报的数据和材料进行查证核实，按照考评计分办法计算分值，对工业园区进行评价。</w:t>
      </w:r>
    </w:p>
    <w:p>
      <w:pPr>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楷体_GB2312" w:hAnsi="楷体" w:eastAsia="楷体_GB2312" w:cs="楷体"/>
          <w:color w:val="000000"/>
          <w:kern w:val="0"/>
          <w:sz w:val="32"/>
          <w:szCs w:val="32"/>
          <w:shd w:val="clear" w:color="auto" w:fill="FFFFFF"/>
        </w:rPr>
        <w:t>（三）形成报告。</w:t>
      </w:r>
      <w:r>
        <w:rPr>
          <w:rFonts w:hint="eastAsia" w:ascii="仿宋_GB2312" w:hAnsi="仿宋_GB2312" w:eastAsia="仿宋_GB2312" w:cs="仿宋_GB2312"/>
          <w:bCs/>
          <w:color w:val="000000"/>
          <w:kern w:val="0"/>
          <w:sz w:val="32"/>
          <w:szCs w:val="32"/>
          <w:shd w:val="clear" w:color="auto" w:fill="FFFFFF"/>
        </w:rPr>
        <w:t>考评工作结束后，由赤峰市加快工业园区建设工作领导小组办公室根据考评情况形成《年度全市工业园区考核评价报告》，上报市政府。</w:t>
      </w:r>
    </w:p>
    <w:p>
      <w:pPr>
        <w:pStyle w:val="7"/>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hint="eastAsia" w:ascii="楷体_GB2312" w:hAnsi="楷体" w:eastAsia="楷体_GB2312" w:cs="楷体"/>
          <w:color w:val="000000"/>
          <w:kern w:val="0"/>
          <w:sz w:val="32"/>
          <w:szCs w:val="32"/>
          <w:shd w:val="clear" w:color="auto" w:fill="FFFFFF"/>
        </w:rPr>
        <w:t>（四）否决事项。</w:t>
      </w:r>
      <w:r>
        <w:rPr>
          <w:rFonts w:hint="eastAsia" w:ascii="仿宋_GB2312" w:hAnsi="仿宋_GB2312" w:eastAsia="仿宋_GB2312" w:cs="仿宋_GB2312"/>
          <w:bCs/>
          <w:color w:val="000000"/>
          <w:kern w:val="0"/>
          <w:sz w:val="32"/>
          <w:szCs w:val="32"/>
          <w:shd w:val="clear" w:color="auto" w:fill="FFFFFF"/>
        </w:rPr>
        <w:t>在考评年度内，凡工业园区发生重大安全生产事件、突发环境污染事件（不含次生的）的，根据相关部门通报结果取消评优资格并予以扣分。</w:t>
      </w:r>
    </w:p>
    <w:p>
      <w:pPr>
        <w:spacing w:line="560" w:lineRule="exact"/>
        <w:ind w:firstLine="640" w:firstLineChars="200"/>
        <w:rPr>
          <w:rFonts w:hint="eastAsia" w:ascii="仿宋_GB2312" w:hAnsi="仿宋_GB2312" w:eastAsia="仿宋_GB2312" w:cs="仿宋_GB2312"/>
          <w:bCs/>
          <w:color w:val="000000"/>
          <w:kern w:val="0"/>
          <w:sz w:val="32"/>
          <w:szCs w:val="32"/>
          <w:shd w:val="clear" w:color="auto" w:fill="FFFFFF"/>
        </w:rPr>
      </w:pPr>
      <w:r>
        <w:rPr>
          <w:rFonts w:ascii="黑体" w:hAnsi="黑体" w:eastAsia="黑体" w:cs="黑体"/>
          <w:bCs/>
          <w:color w:val="000000"/>
          <w:sz w:val="32"/>
          <w:szCs w:val="32"/>
        </w:rPr>
        <w:t>六</w:t>
      </w:r>
      <w:r>
        <w:rPr>
          <w:rFonts w:hint="eastAsia" w:ascii="黑体" w:hAnsi="黑体" w:eastAsia="黑体" w:cs="黑体"/>
          <w:bCs/>
          <w:color w:val="000000"/>
          <w:sz w:val="32"/>
          <w:szCs w:val="32"/>
        </w:rPr>
        <w:t>、评价结果</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发展进步、亩均效益、绿色低碳、科技创造、招商引资5项评价指标各设1个重点工业园区奖项，从各项评价指标得分前3名的产业园中评选产生。获评重点园区的产业园除满足前述条件外，还须符合本办法评价导向第一、二款的要求。</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设综合实力重点工业开发区奖项1个，从综合实力得分前3名的开发区中评选产生。获评综合实力重点工业开发区的，除满足前述条件外还须符合本办法评价导向第一款的要求。</w:t>
      </w:r>
    </w:p>
    <w:p>
      <w:pPr>
        <w:pStyle w:val="7"/>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在同一考评年度内，同一园区只能获评为发展进步、亩均效益、绿色低碳、科技创新、招商引资中1个方面的重点园区。当有2个以上时，依奖金高者或评分高者确定其获评重点园区的称号，其余奖项顺位获得。</w:t>
      </w:r>
    </w:p>
    <w:p>
      <w:pPr>
        <w:adjustRightInd w:val="0"/>
        <w:snapToGrid w:val="0"/>
        <w:spacing w:line="560" w:lineRule="exact"/>
        <w:ind w:firstLine="640" w:firstLineChars="200"/>
        <w:rPr>
          <w:rFonts w:hint="eastAsia" w:ascii="黑体" w:hAnsi="黑体" w:eastAsia="黑体" w:cs="黑体"/>
          <w:bCs/>
          <w:color w:val="000000"/>
          <w:sz w:val="32"/>
          <w:szCs w:val="32"/>
        </w:rPr>
      </w:pPr>
      <w:r>
        <w:rPr>
          <w:rFonts w:ascii="黑体" w:hAnsi="黑体" w:eastAsia="黑体" w:cs="黑体"/>
          <w:color w:val="000000"/>
          <w:kern w:val="0"/>
          <w:sz w:val="32"/>
          <w:szCs w:val="32"/>
          <w:shd w:val="clear" w:color="auto" w:fill="FFFFFF"/>
        </w:rPr>
        <w:t>七、评价导向</w:t>
      </w:r>
    </w:p>
    <w:p>
      <w:pPr>
        <w:adjustRightInd w:val="0"/>
        <w:snapToGrid w:val="0"/>
        <w:spacing w:line="560" w:lineRule="exact"/>
        <w:ind w:firstLine="640" w:firstLineChars="200"/>
        <w:rPr>
          <w:rFonts w:hint="eastAsia" w:ascii="仿宋_GB2312" w:hAnsi="仿宋" w:eastAsia="仿宋_GB2312" w:cs="黑体"/>
          <w:bCs/>
          <w:color w:val="000000"/>
          <w:sz w:val="32"/>
          <w:szCs w:val="32"/>
        </w:rPr>
      </w:pPr>
      <w:r>
        <w:rPr>
          <w:rFonts w:hint="eastAsia" w:ascii="仿宋_GB2312" w:hAnsi="仿宋" w:eastAsia="仿宋_GB2312" w:cs="仿宋_GB2312"/>
          <w:color w:val="000000"/>
          <w:kern w:val="0"/>
          <w:sz w:val="32"/>
          <w:szCs w:val="32"/>
          <w:shd w:val="clear" w:color="auto" w:fill="FFFFFF"/>
        </w:rPr>
        <w:t>凡亩均效益、绿色低碳、科技创新、招商引资四个单项指标，有三项在全市平均水平以下的园区，取消评选重点工业园区资格。</w:t>
      </w:r>
    </w:p>
    <w:p>
      <w:pPr>
        <w:adjustRightInd w:val="0"/>
        <w:snapToGrid w:val="0"/>
        <w:spacing w:line="560" w:lineRule="exact"/>
        <w:ind w:firstLine="640" w:firstLineChars="200"/>
        <w:rPr>
          <w:rFonts w:hint="eastAsia" w:ascii="仿宋_GB2312" w:hAnsi="仿宋" w:eastAsia="仿宋_GB2312" w:cs="黑体"/>
          <w:bCs/>
          <w:color w:val="000000"/>
          <w:sz w:val="32"/>
          <w:szCs w:val="32"/>
        </w:rPr>
      </w:pPr>
      <w:r>
        <w:rPr>
          <w:rFonts w:hint="eastAsia" w:ascii="仿宋_GB2312" w:hAnsi="仿宋" w:eastAsia="仿宋_GB2312" w:cs="仿宋_GB2312"/>
          <w:color w:val="000000"/>
          <w:kern w:val="0"/>
          <w:sz w:val="32"/>
          <w:szCs w:val="32"/>
          <w:shd w:val="clear" w:color="auto" w:fill="FFFFFF"/>
        </w:rPr>
        <w:t>亩均效益重点工业园区亩均工业增加值必须在全市园区前三名且在平均值以上。绿色低碳重点园区单位增加值能耗降低率必须在全市园区前三名且在平均值以上。科技创新重点工业园区规上工业企业研发费用占营业收入比重必须在全市园区前三名且在平均值以上。招商引资重点工业园区新入园开工项目完成投资额必须在全市园区前三名且在平均值以上。</w:t>
      </w:r>
    </w:p>
    <w:p>
      <w:pPr>
        <w:spacing w:line="560" w:lineRule="exact"/>
        <w:ind w:firstLine="640" w:firstLineChars="200"/>
        <w:rPr>
          <w:rFonts w:hint="eastAsia" w:ascii="黑体" w:hAnsi="黑体" w:eastAsia="黑体" w:cs="黑体"/>
          <w:bCs/>
          <w:color w:val="000000"/>
          <w:sz w:val="32"/>
          <w:szCs w:val="32"/>
        </w:rPr>
      </w:pPr>
      <w:r>
        <w:rPr>
          <w:rFonts w:hint="eastAsia" w:ascii="黑体" w:hAnsi="黑体" w:eastAsia="黑体" w:cs="黑体"/>
          <w:bCs/>
          <w:color w:val="000000"/>
          <w:sz w:val="32"/>
          <w:szCs w:val="32"/>
        </w:rPr>
        <w:t>八、结果运用</w:t>
      </w:r>
    </w:p>
    <w:p>
      <w:pPr>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color w:val="000000"/>
          <w:kern w:val="0"/>
          <w:sz w:val="32"/>
          <w:szCs w:val="32"/>
          <w:shd w:val="clear" w:color="auto" w:fill="FFFFFF"/>
        </w:rPr>
        <w:t>获评为重点工业园区的，由市委、市政府授予“xx年度赤峰市xx重点工业园区（开发区）”奖牌。</w:t>
      </w:r>
    </w:p>
    <w:p>
      <w:pPr>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color w:val="000000"/>
          <w:kern w:val="0"/>
          <w:sz w:val="32"/>
          <w:szCs w:val="32"/>
          <w:shd w:val="clear" w:color="auto" w:fill="FFFFFF"/>
        </w:rPr>
        <w:t>考评结果纳入市委、市政府对开发区以及开发区、产业园所在地区党政领导班子年度综合考评体系。</w:t>
      </w:r>
      <w:r>
        <w:rPr>
          <w:rFonts w:hint="eastAsia" w:ascii="仿宋_GB2312" w:hAnsi="仿宋" w:eastAsia="仿宋_GB2312" w:cs="仿宋_GB2312"/>
          <w:sz w:val="32"/>
          <w:szCs w:val="32"/>
        </w:rPr>
        <w:t>市政府每年安排工业园区考评奖励资金1000万元，对获评为全市重点工业园区的进行物质奖励。其中，开发区仅设综合奖励资金500万元，对当年获评为综合实力重点工业开发区的开发区党工委、管委会给予奖励；产业园设专项奖励资金500万元，用于奖励获评为发展进步、亩均效益、绿色低碳、科技创新、招商引资</w:t>
      </w:r>
      <w:r>
        <w:rPr>
          <w:rFonts w:hint="eastAsia" w:ascii="仿宋_GB2312" w:hAnsi="仿宋" w:eastAsia="仿宋_GB2312" w:cs="仿宋_GB2312"/>
          <w:bCs/>
          <w:color w:val="000000"/>
          <w:kern w:val="0"/>
          <w:sz w:val="32"/>
          <w:szCs w:val="32"/>
          <w:shd w:val="clear" w:color="auto" w:fill="FFFFFF"/>
        </w:rPr>
        <w:t>重点工业园区</w:t>
      </w:r>
      <w:r>
        <w:rPr>
          <w:rFonts w:hint="eastAsia" w:ascii="仿宋_GB2312" w:hAnsi="仿宋" w:eastAsia="仿宋_GB2312" w:cs="仿宋_GB2312"/>
          <w:sz w:val="32"/>
          <w:szCs w:val="32"/>
        </w:rPr>
        <w:t>的产业园各1名，各奖励产业园管理办公室专项奖金100万元。</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九、附则</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一）本办法由赤峰市加快工业园区建设工作领导小组办公室负责解释。每年考评时间、工作安排以市加快工业园区建设工作领导小组办公室通知为准。经市政府批准后，赤峰市加快工业园区建设工作领导小组根据发展情况可适时调整评价指标及权重。</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（二）本办法自发布之日起实施。</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（三）原《赤峰市工业园区考核评价办法（试行）》同时废止。</w:t>
      </w: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p>
    <w:p>
      <w:pPr>
        <w:spacing w:line="560" w:lineRule="exact"/>
        <w:ind w:firstLine="640" w:firstLineChars="200"/>
        <w:rPr>
          <w:rFonts w:hint="eastAsia" w:ascii="仿宋_GB2312" w:hAnsi="仿宋" w:eastAsia="仿宋_GB2312" w:cs="仿宋_GB2312"/>
          <w:bCs/>
          <w:color w:val="000000"/>
          <w:kern w:val="0"/>
          <w:sz w:val="32"/>
          <w:szCs w:val="32"/>
          <w:shd w:val="clear" w:color="auto" w:fill="FFFFFF"/>
        </w:rPr>
      </w:pPr>
      <w:r>
        <w:rPr>
          <w:rFonts w:hint="eastAsia" w:ascii="仿宋_GB2312" w:hAnsi="仿宋" w:eastAsia="仿宋_GB2312" w:cs="仿宋_GB2312"/>
          <w:bCs/>
          <w:color w:val="000000"/>
          <w:kern w:val="0"/>
          <w:sz w:val="32"/>
          <w:szCs w:val="32"/>
          <w:shd w:val="clear" w:color="auto" w:fill="FFFFFF"/>
        </w:rPr>
        <w:t>附件：1.赤峰市工业园区考核评价指标体系</w:t>
      </w:r>
    </w:p>
    <w:p>
      <w:pPr>
        <w:spacing w:line="560" w:lineRule="exact"/>
        <w:ind w:firstLine="1600" w:firstLineChars="500"/>
        <w:rPr>
          <w:rFonts w:hint="eastAsia" w:ascii="仿宋_GB2312" w:hAnsi="仿宋" w:eastAsia="仿宋_GB2312" w:cs="仿宋_GB2312"/>
          <w:bCs/>
          <w:color w:val="000000"/>
          <w:spacing w:val="-8"/>
          <w:kern w:val="0"/>
          <w:sz w:val="32"/>
          <w:szCs w:val="32"/>
          <w:shd w:val="clear" w:color="auto" w:fill="FFFFFF"/>
        </w:rPr>
        <w:sectPr>
          <w:footerReference r:id="rId3" w:type="default"/>
          <w:footerReference r:id="rId4" w:type="even"/>
          <w:pgSz w:w="11906" w:h="16838"/>
          <w:pgMar w:top="2041" w:right="1474" w:bottom="1871" w:left="1531" w:header="851" w:footer="992" w:gutter="0"/>
          <w:pgNumType w:fmt="numberInDash" w:start="1"/>
          <w:cols w:space="425" w:num="1"/>
          <w:docGrid w:type="lines" w:linePitch="312" w:charSpace="0"/>
        </w:sectPr>
      </w:pPr>
      <w:r>
        <w:rPr>
          <w:rFonts w:hint="eastAsia" w:ascii="仿宋_GB2312" w:hAnsi="仿宋" w:eastAsia="仿宋_GB2312" w:cs="仿宋_GB2312"/>
          <w:bCs/>
          <w:color w:val="000000"/>
          <w:kern w:val="0"/>
          <w:sz w:val="32"/>
          <w:szCs w:val="32"/>
          <w:shd w:val="clear" w:color="auto" w:fill="FFFFFF"/>
        </w:rPr>
        <w:t>2.</w:t>
      </w:r>
      <w:r>
        <w:rPr>
          <w:rFonts w:hint="eastAsia" w:ascii="仿宋_GB2312" w:hAnsi="仿宋" w:eastAsia="仿宋_GB2312" w:cs="仿宋_GB2312"/>
          <w:bCs/>
          <w:color w:val="000000"/>
          <w:spacing w:val="-8"/>
          <w:kern w:val="0"/>
          <w:sz w:val="32"/>
          <w:szCs w:val="32"/>
          <w:shd w:val="clear" w:color="auto" w:fill="FFFFFF"/>
        </w:rPr>
        <w:t>赤峰市工业园区考核评价计分方法及指标说明</w:t>
      </w:r>
    </w:p>
    <w:tbl>
      <w:tblPr>
        <w:tblStyle w:val="5"/>
        <w:tblpPr w:leftFromText="180" w:rightFromText="180" w:vertAnchor="text" w:horzAnchor="page" w:tblpX="1714" w:tblpY="-64"/>
        <w:tblOverlap w:val="never"/>
        <w:tblW w:w="9117" w:type="dxa"/>
        <w:tblInd w:w="0" w:type="dxa"/>
        <w:tblLayout w:type="fixed"/>
        <w:tblCellMar>
          <w:top w:w="0" w:type="dxa"/>
          <w:left w:w="108" w:type="dxa"/>
          <w:bottom w:w="0" w:type="dxa"/>
          <w:right w:w="108" w:type="dxa"/>
        </w:tblCellMar>
      </w:tblPr>
      <w:tblGrid>
        <w:gridCol w:w="1611"/>
        <w:gridCol w:w="475"/>
        <w:gridCol w:w="4042"/>
        <w:gridCol w:w="1013"/>
        <w:gridCol w:w="582"/>
        <w:gridCol w:w="1394"/>
      </w:tblGrid>
      <w:tr>
        <w:tblPrEx>
          <w:tblCellMar>
            <w:top w:w="0" w:type="dxa"/>
            <w:left w:w="108" w:type="dxa"/>
            <w:bottom w:w="0" w:type="dxa"/>
            <w:right w:w="108" w:type="dxa"/>
          </w:tblCellMar>
        </w:tblPrEx>
        <w:trPr>
          <w:trHeight w:val="357" w:hRule="atLeast"/>
        </w:trPr>
        <w:tc>
          <w:tcPr>
            <w:tcW w:w="9117" w:type="dxa"/>
            <w:gridSpan w:val="6"/>
            <w:tcBorders>
              <w:top w:val="nil"/>
              <w:left w:val="nil"/>
              <w:bottom w:val="nil"/>
              <w:right w:val="nil"/>
            </w:tcBorders>
            <w:noWrap w:val="0"/>
            <w:vAlign w:val="center"/>
          </w:tcPr>
          <w:p>
            <w:pPr>
              <w:spacing w:line="500" w:lineRule="exact"/>
              <w:rPr>
                <w:rFonts w:ascii="黑体" w:hAnsi="黑体" w:eastAsia="黑体" w:cs="仿宋"/>
                <w:color w:val="000000"/>
                <w:kern w:val="0"/>
                <w:sz w:val="32"/>
                <w:szCs w:val="32"/>
                <w:lang w:bidi="ar"/>
              </w:rPr>
            </w:pPr>
            <w:r>
              <w:rPr>
                <w:rFonts w:hint="eastAsia" w:ascii="黑体" w:hAnsi="黑体" w:eastAsia="黑体" w:cs="仿宋"/>
                <w:color w:val="000000"/>
                <w:kern w:val="0"/>
                <w:sz w:val="32"/>
                <w:szCs w:val="32"/>
                <w:lang w:bidi="ar"/>
              </w:rPr>
              <w:t>附件1</w:t>
            </w:r>
          </w:p>
          <w:p>
            <w:pPr>
              <w:spacing w:line="500" w:lineRule="exact"/>
              <w:rPr>
                <w:rFonts w:hint="eastAsia" w:ascii="黑体" w:hAnsi="黑体" w:eastAsia="黑体" w:cs="方正黑体_GBK"/>
                <w:color w:val="000000"/>
                <w:kern w:val="0"/>
                <w:sz w:val="24"/>
                <w:szCs w:val="24"/>
                <w:lang w:bidi="ar"/>
              </w:rPr>
            </w:pPr>
            <w:r>
              <w:rPr>
                <w:rFonts w:hint="eastAsia" w:ascii="黑体" w:hAnsi="黑体" w:eastAsia="黑体" w:cs="宋体"/>
                <w:b/>
                <w:bCs/>
                <w:color w:val="000000"/>
                <w:kern w:val="0"/>
                <w:sz w:val="36"/>
                <w:szCs w:val="36"/>
                <w:lang w:bidi="ar"/>
              </w:rPr>
              <w:t xml:space="preserve">    </w:t>
            </w:r>
          </w:p>
        </w:tc>
      </w:tr>
      <w:tr>
        <w:tblPrEx>
          <w:tblCellMar>
            <w:top w:w="0" w:type="dxa"/>
            <w:left w:w="108" w:type="dxa"/>
            <w:bottom w:w="0" w:type="dxa"/>
            <w:right w:w="108" w:type="dxa"/>
          </w:tblCellMar>
        </w:tblPrEx>
        <w:trPr>
          <w:trHeight w:val="357" w:hRule="atLeast"/>
        </w:trPr>
        <w:tc>
          <w:tcPr>
            <w:tcW w:w="9117" w:type="dxa"/>
            <w:gridSpan w:val="6"/>
            <w:tcBorders>
              <w:top w:val="nil"/>
              <w:left w:val="nil"/>
              <w:bottom w:val="single" w:color="auto" w:sz="4" w:space="0"/>
              <w:right w:val="nil"/>
            </w:tcBorders>
            <w:noWrap w:val="0"/>
            <w:vAlign w:val="center"/>
          </w:tcPr>
          <w:p>
            <w:pPr>
              <w:spacing w:line="500" w:lineRule="exact"/>
              <w:jc w:val="center"/>
              <w:rPr>
                <w:rFonts w:hint="eastAsia" w:ascii="方正小标宋简体" w:hAnsi="黑体" w:eastAsia="方正小标宋简体" w:cs="黑体"/>
                <w:color w:val="000000"/>
                <w:kern w:val="0"/>
                <w:sz w:val="44"/>
                <w:szCs w:val="44"/>
                <w:lang w:bidi="ar"/>
              </w:rPr>
            </w:pPr>
            <w:r>
              <w:rPr>
                <w:rFonts w:hint="eastAsia" w:ascii="方正小标宋简体" w:hAnsi="黑体" w:eastAsia="方正小标宋简体" w:cs="黑体"/>
                <w:color w:val="000000"/>
                <w:kern w:val="0"/>
                <w:sz w:val="44"/>
                <w:szCs w:val="44"/>
                <w:lang w:bidi="ar"/>
              </w:rPr>
              <w:t>赤峰市工业园区考核评价指标体系</w:t>
            </w:r>
          </w:p>
          <w:p>
            <w:pPr>
              <w:spacing w:line="500" w:lineRule="exact"/>
              <w:jc w:val="center"/>
              <w:rPr>
                <w:rFonts w:hint="eastAsia" w:ascii="宋体" w:hAnsi="宋体" w:cs="宋体"/>
                <w:b/>
                <w:bCs/>
                <w:color w:val="000000"/>
                <w:kern w:val="0"/>
                <w:sz w:val="36"/>
                <w:szCs w:val="36"/>
                <w:lang w:bidi="ar"/>
              </w:rPr>
            </w:pPr>
          </w:p>
        </w:tc>
      </w:tr>
      <w:tr>
        <w:tblPrEx>
          <w:tblCellMar>
            <w:top w:w="0" w:type="dxa"/>
            <w:left w:w="108" w:type="dxa"/>
            <w:bottom w:w="0" w:type="dxa"/>
            <w:right w:w="108" w:type="dxa"/>
          </w:tblCellMar>
        </w:tblPrEx>
        <w:trPr>
          <w:trHeight w:val="663" w:hRule="atLeast"/>
        </w:trPr>
        <w:tc>
          <w:tcPr>
            <w:tcW w:w="1611"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sz w:val="24"/>
                <w:szCs w:val="24"/>
              </w:rPr>
              <w:t>一级指标</w:t>
            </w:r>
          </w:p>
        </w:tc>
        <w:tc>
          <w:tcPr>
            <w:tcW w:w="475"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kern w:val="0"/>
                <w:sz w:val="24"/>
                <w:szCs w:val="24"/>
                <w:lang w:bidi="ar"/>
              </w:rPr>
            </w:pPr>
            <w:r>
              <w:rPr>
                <w:rFonts w:hint="eastAsia" w:ascii="方正黑体_GBK" w:hAnsi="方正黑体_GBK" w:eastAsia="方正黑体_GBK" w:cs="方正黑体_GBK"/>
                <w:color w:val="000000"/>
                <w:kern w:val="0"/>
                <w:sz w:val="24"/>
                <w:szCs w:val="24"/>
                <w:lang w:bidi="ar"/>
              </w:rPr>
              <w:t>分值</w:t>
            </w: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二级指标</w:t>
            </w:r>
          </w:p>
        </w:tc>
        <w:tc>
          <w:tcPr>
            <w:tcW w:w="1013"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单位</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分值</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责任单位</w:t>
            </w:r>
          </w:p>
        </w:tc>
      </w:tr>
      <w:tr>
        <w:tblPrEx>
          <w:tblCellMar>
            <w:top w:w="0" w:type="dxa"/>
            <w:left w:w="108" w:type="dxa"/>
            <w:bottom w:w="0" w:type="dxa"/>
            <w:right w:w="108" w:type="dxa"/>
          </w:tblCellMar>
        </w:tblPrEx>
        <w:trPr>
          <w:trHeight w:val="369" w:hRule="atLeast"/>
        </w:trPr>
        <w:tc>
          <w:tcPr>
            <w:tcW w:w="1611" w:type="dxa"/>
            <w:vMerge w:val="restart"/>
            <w:tcBorders>
              <w:top w:val="single" w:color="auto" w:sz="4" w:space="0"/>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r>
              <w:rPr>
                <w:rFonts w:hint="eastAsia" w:ascii="宋体" w:hAnsi="宋体" w:cs="宋体"/>
                <w:color w:val="000000"/>
                <w:szCs w:val="21"/>
              </w:rPr>
              <w:t>发展进步</w:t>
            </w:r>
          </w:p>
        </w:tc>
        <w:tc>
          <w:tcPr>
            <w:tcW w:w="475" w:type="dxa"/>
            <w:vMerge w:val="restart"/>
            <w:tcBorders>
              <w:top w:val="single" w:color="auto" w:sz="4" w:space="0"/>
              <w:left w:val="single" w:color="000000" w:sz="4" w:space="0"/>
              <w:right w:val="single" w:color="000000"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20</w:t>
            </w: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当年规上工业总产值</w:t>
            </w:r>
          </w:p>
        </w:tc>
        <w:tc>
          <w:tcPr>
            <w:tcW w:w="1013" w:type="dxa"/>
            <w:tcBorders>
              <w:top w:val="single" w:color="auto"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万元</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20</w:t>
            </w:r>
          </w:p>
        </w:tc>
        <w:tc>
          <w:tcPr>
            <w:tcW w:w="1394" w:type="dxa"/>
            <w:vMerge w:val="restart"/>
            <w:tcBorders>
              <w:top w:val="single" w:color="auto" w:sz="4" w:space="0"/>
              <w:left w:val="single" w:color="auto"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统计局</w:t>
            </w: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当年规上工业总产值增速</w:t>
            </w:r>
          </w:p>
        </w:tc>
        <w:tc>
          <w:tcPr>
            <w:tcW w:w="1013" w:type="dxa"/>
            <w:tcBorders>
              <w:top w:val="single" w:color="auto"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w:t>
            </w:r>
          </w:p>
        </w:tc>
        <w:tc>
          <w:tcPr>
            <w:tcW w:w="1394" w:type="dxa"/>
            <w:vMerge w:val="continue"/>
            <w:tcBorders>
              <w:left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当年工业固定资产投资</w:t>
            </w:r>
          </w:p>
        </w:tc>
        <w:tc>
          <w:tcPr>
            <w:tcW w:w="1013" w:type="dxa"/>
            <w:tcBorders>
              <w:top w:val="single" w:color="auto"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万元</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15</w:t>
            </w:r>
          </w:p>
        </w:tc>
        <w:tc>
          <w:tcPr>
            <w:tcW w:w="1394" w:type="dxa"/>
            <w:vMerge w:val="continue"/>
            <w:tcBorders>
              <w:left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当年工业固定资产投资增速</w:t>
            </w:r>
          </w:p>
        </w:tc>
        <w:tc>
          <w:tcPr>
            <w:tcW w:w="1013"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szCs w:val="21"/>
              </w:rPr>
              <w:t>%</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1394" w:type="dxa"/>
            <w:vMerge w:val="continue"/>
            <w:tcBorders>
              <w:left w:val="single" w:color="auto" w:sz="4" w:space="0"/>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当年税收总额</w:t>
            </w:r>
          </w:p>
        </w:tc>
        <w:tc>
          <w:tcPr>
            <w:tcW w:w="1013"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万元</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15</w:t>
            </w:r>
          </w:p>
        </w:tc>
        <w:tc>
          <w:tcPr>
            <w:tcW w:w="139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国家税务总局赤峰市税务局</w:t>
            </w: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当年税收总额增速</w:t>
            </w:r>
          </w:p>
        </w:tc>
        <w:tc>
          <w:tcPr>
            <w:tcW w:w="1013"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szCs w:val="21"/>
              </w:rPr>
              <w:t>%</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15</w:t>
            </w:r>
          </w:p>
        </w:tc>
        <w:tc>
          <w:tcPr>
            <w:tcW w:w="139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p>
        </w:tc>
      </w:tr>
      <w:tr>
        <w:tblPrEx>
          <w:tblCellMar>
            <w:top w:w="0" w:type="dxa"/>
            <w:left w:w="108" w:type="dxa"/>
            <w:bottom w:w="0" w:type="dxa"/>
            <w:right w:w="108" w:type="dxa"/>
          </w:tblCellMar>
        </w:tblPrEx>
        <w:trPr>
          <w:trHeight w:val="1053" w:hRule="atLeast"/>
        </w:trPr>
        <w:tc>
          <w:tcPr>
            <w:tcW w:w="161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475" w:type="dxa"/>
            <w:vMerge w:val="continue"/>
            <w:tcBorders>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园区发生较大以上安全生产事件</w:t>
            </w:r>
          </w:p>
        </w:tc>
        <w:tc>
          <w:tcPr>
            <w:tcW w:w="1595" w:type="dxa"/>
            <w:gridSpan w:val="2"/>
            <w:tcBorders>
              <w:top w:val="single" w:color="000000" w:sz="4" w:space="0"/>
              <w:left w:val="single" w:color="000000" w:sz="4" w:space="0"/>
              <w:bottom w:val="single" w:color="000000" w:sz="4" w:space="0"/>
              <w:right w:val="single" w:color="auto" w:sz="4" w:space="0"/>
            </w:tcBorders>
            <w:noWrap w:val="0"/>
            <w:vAlign w:val="center"/>
          </w:tcPr>
          <w:p>
            <w:pPr>
              <w:rPr>
                <w:rFonts w:hint="eastAsia" w:ascii="宋体" w:hAnsi="宋体" w:cs="宋体"/>
                <w:color w:val="000000"/>
                <w:szCs w:val="21"/>
              </w:rPr>
            </w:pPr>
            <w:r>
              <w:rPr>
                <w:rFonts w:hint="eastAsia" w:ascii="宋体" w:hAnsi="宋体" w:cs="宋体"/>
                <w:color w:val="000000"/>
                <w:kern w:val="0"/>
                <w:szCs w:val="21"/>
                <w:lang w:bidi="ar"/>
              </w:rPr>
              <w:t>较大每件</w:t>
            </w:r>
            <w:r>
              <w:rPr>
                <w:rFonts w:hint="eastAsia" w:ascii="宋体" w:hAnsi="宋体" w:cs="宋体"/>
                <w:color w:val="000000"/>
                <w:szCs w:val="21"/>
              </w:rPr>
              <w:t>-5分，较</w:t>
            </w:r>
            <w:r>
              <w:rPr>
                <w:rFonts w:ascii="宋体" w:hAnsi="宋体" w:cs="宋体"/>
                <w:color w:val="000000"/>
                <w:szCs w:val="21"/>
              </w:rPr>
              <w:t>大以上</w:t>
            </w:r>
            <w:r>
              <w:rPr>
                <w:rFonts w:hint="eastAsia" w:ascii="宋体" w:hAnsi="宋体" w:cs="宋体"/>
                <w:color w:val="000000"/>
                <w:szCs w:val="21"/>
              </w:rPr>
              <w:t>每</w:t>
            </w:r>
            <w:r>
              <w:rPr>
                <w:rFonts w:ascii="宋体" w:hAnsi="宋体" w:cs="宋体"/>
                <w:color w:val="000000"/>
                <w:szCs w:val="21"/>
              </w:rPr>
              <w:t>件</w:t>
            </w:r>
            <w:r>
              <w:rPr>
                <w:rFonts w:hint="eastAsia" w:ascii="宋体" w:hAnsi="宋体" w:cs="宋体"/>
                <w:color w:val="000000"/>
                <w:szCs w:val="21"/>
              </w:rPr>
              <w:t>-</w:t>
            </w:r>
            <w:r>
              <w:rPr>
                <w:rFonts w:ascii="宋体" w:hAnsi="宋体" w:cs="宋体"/>
                <w:color w:val="000000"/>
                <w:szCs w:val="21"/>
              </w:rPr>
              <w:t>10</w:t>
            </w:r>
            <w:r>
              <w:rPr>
                <w:rFonts w:hint="eastAsia" w:ascii="宋体" w:hAnsi="宋体" w:cs="宋体"/>
                <w:color w:val="000000"/>
                <w:szCs w:val="21"/>
              </w:rPr>
              <w:t>分</w:t>
            </w:r>
            <w:r>
              <w:rPr>
                <w:rFonts w:ascii="宋体" w:hAnsi="宋体" w:cs="宋体"/>
                <w:color w:val="000000"/>
                <w:szCs w:val="21"/>
              </w:rPr>
              <w:t>。</w:t>
            </w:r>
          </w:p>
          <w:p>
            <w:pPr>
              <w:widowControl/>
              <w:textAlignment w:val="center"/>
              <w:rPr>
                <w:rFonts w:hint="eastAsia" w:ascii="宋体" w:hAnsi="宋体" w:cs="宋体"/>
                <w:color w:val="000000"/>
                <w:kern w:val="0"/>
                <w:szCs w:val="21"/>
                <w:lang w:bidi="ar"/>
              </w:rPr>
            </w:pPr>
          </w:p>
        </w:tc>
        <w:tc>
          <w:tcPr>
            <w:tcW w:w="1394" w:type="dxa"/>
            <w:tcBorders>
              <w:top w:val="single" w:color="auto" w:sz="4" w:space="0"/>
              <w:left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应急局</w:t>
            </w:r>
          </w:p>
        </w:tc>
      </w:tr>
      <w:tr>
        <w:tblPrEx>
          <w:tblCellMar>
            <w:top w:w="0" w:type="dxa"/>
            <w:left w:w="108" w:type="dxa"/>
            <w:bottom w:w="0" w:type="dxa"/>
            <w:right w:w="108" w:type="dxa"/>
          </w:tblCellMar>
        </w:tblPrEx>
        <w:trPr>
          <w:trHeight w:val="369" w:hRule="atLeast"/>
        </w:trPr>
        <w:tc>
          <w:tcPr>
            <w:tcW w:w="1611" w:type="dxa"/>
            <w:vMerge w:val="restart"/>
            <w:tcBorders>
              <w:top w:val="single" w:color="auto" w:sz="4" w:space="0"/>
              <w:left w:val="single" w:color="000000" w:sz="4" w:space="0"/>
              <w:right w:val="single" w:color="000000" w:sz="4" w:space="0"/>
            </w:tcBorders>
            <w:noWrap w:val="0"/>
            <w:vAlign w:val="center"/>
          </w:tcPr>
          <w:p>
            <w:pPr>
              <w:jc w:val="center"/>
              <w:rPr>
                <w:rFonts w:hint="eastAsia" w:ascii="宋体" w:hAnsi="宋体" w:cs="宋体"/>
                <w:color w:val="000000"/>
                <w:szCs w:val="21"/>
              </w:rPr>
            </w:pPr>
            <w:r>
              <w:rPr>
                <w:rFonts w:hint="eastAsia" w:ascii="宋体" w:hAnsi="宋体" w:cs="宋体"/>
                <w:color w:val="000000"/>
                <w:szCs w:val="21"/>
              </w:rPr>
              <w:t>亩均效益</w:t>
            </w:r>
          </w:p>
        </w:tc>
        <w:tc>
          <w:tcPr>
            <w:tcW w:w="475" w:type="dxa"/>
            <w:vMerge w:val="restart"/>
            <w:tcBorders>
              <w:top w:val="single" w:color="000000" w:sz="4" w:space="0"/>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w:t>
            </w: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Cs w:val="21"/>
              </w:rPr>
            </w:pPr>
            <w:r>
              <w:rPr>
                <w:rFonts w:hint="eastAsia" w:ascii="宋体" w:hAnsi="宋体" w:cs="宋体"/>
                <w:color w:val="000000"/>
                <w:kern w:val="0"/>
                <w:szCs w:val="21"/>
                <w:lang w:bidi="ar"/>
              </w:rPr>
              <w:t>单位土地面积规上工业增加值</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万元/亩</w:t>
            </w:r>
          </w:p>
        </w:tc>
        <w:tc>
          <w:tcPr>
            <w:tcW w:w="582" w:type="dxa"/>
            <w:tcBorders>
              <w:top w:val="single" w:color="auto"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w:t>
            </w:r>
          </w:p>
        </w:tc>
        <w:tc>
          <w:tcPr>
            <w:tcW w:w="139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自然资源局、国家税务总局赤峰市</w:t>
            </w:r>
          </w:p>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税务局、</w:t>
            </w:r>
          </w:p>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统计局</w:t>
            </w:r>
          </w:p>
        </w:tc>
      </w:tr>
      <w:tr>
        <w:tblPrEx>
          <w:tblCellMar>
            <w:top w:w="0" w:type="dxa"/>
            <w:left w:w="108" w:type="dxa"/>
            <w:bottom w:w="0" w:type="dxa"/>
            <w:right w:w="108" w:type="dxa"/>
          </w:tblCellMar>
        </w:tblPrEx>
        <w:trPr>
          <w:trHeight w:val="369" w:hRule="atLeast"/>
        </w:trPr>
        <w:tc>
          <w:tcPr>
            <w:tcW w:w="1611"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Cs w:val="21"/>
              </w:rPr>
            </w:pPr>
            <w:r>
              <w:rPr>
                <w:rFonts w:hint="eastAsia" w:ascii="宋体" w:hAnsi="宋体" w:cs="宋体"/>
                <w:color w:val="000000"/>
                <w:kern w:val="0"/>
                <w:szCs w:val="21"/>
                <w:lang w:bidi="ar"/>
              </w:rPr>
              <w:t>单位土地面积税收贡献</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万元/亩</w:t>
            </w:r>
          </w:p>
        </w:tc>
        <w:tc>
          <w:tcPr>
            <w:tcW w:w="58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30</w:t>
            </w:r>
          </w:p>
        </w:tc>
        <w:tc>
          <w:tcPr>
            <w:tcW w:w="139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r>
      <w:tr>
        <w:tblPrEx>
          <w:tblCellMar>
            <w:top w:w="0" w:type="dxa"/>
            <w:left w:w="108" w:type="dxa"/>
            <w:bottom w:w="0" w:type="dxa"/>
            <w:right w:w="108" w:type="dxa"/>
          </w:tblCellMar>
        </w:tblPrEx>
        <w:trPr>
          <w:trHeight w:val="369" w:hRule="atLeast"/>
        </w:trPr>
        <w:tc>
          <w:tcPr>
            <w:tcW w:w="1611"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Cs w:val="21"/>
              </w:rPr>
            </w:pPr>
            <w:r>
              <w:rPr>
                <w:rFonts w:hint="eastAsia" w:ascii="宋体" w:hAnsi="宋体" w:cs="宋体"/>
                <w:color w:val="000000"/>
                <w:kern w:val="0"/>
                <w:szCs w:val="21"/>
                <w:lang w:bidi="ar"/>
              </w:rPr>
              <w:t>单位土地面积累计工业固定资产投资</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万元/亩</w:t>
            </w:r>
          </w:p>
        </w:tc>
        <w:tc>
          <w:tcPr>
            <w:tcW w:w="582"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30</w:t>
            </w:r>
          </w:p>
        </w:tc>
        <w:tc>
          <w:tcPr>
            <w:tcW w:w="139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r>
      <w:tr>
        <w:tblPrEx>
          <w:tblCellMar>
            <w:top w:w="0" w:type="dxa"/>
            <w:left w:w="108" w:type="dxa"/>
            <w:bottom w:w="0" w:type="dxa"/>
            <w:right w:w="108" w:type="dxa"/>
          </w:tblCellMar>
        </w:tblPrEx>
        <w:trPr>
          <w:trHeight w:val="369" w:hRule="atLeast"/>
        </w:trPr>
        <w:tc>
          <w:tcPr>
            <w:tcW w:w="1611" w:type="dxa"/>
            <w:vMerge w:val="restart"/>
            <w:tcBorders>
              <w:left w:val="single" w:color="000000" w:sz="4" w:space="0"/>
              <w:right w:val="single" w:color="000000" w:sz="4" w:space="0"/>
            </w:tcBorders>
            <w:noWrap w:val="0"/>
            <w:vAlign w:val="center"/>
          </w:tcPr>
          <w:p>
            <w:pPr>
              <w:jc w:val="center"/>
              <w:rPr>
                <w:rFonts w:hint="eastAsia" w:ascii="宋体" w:hAnsi="宋体" w:cs="宋体"/>
                <w:color w:val="000000"/>
                <w:szCs w:val="21"/>
              </w:rPr>
            </w:pPr>
            <w:r>
              <w:rPr>
                <w:rFonts w:hint="eastAsia" w:ascii="宋体" w:hAnsi="宋体" w:cs="宋体"/>
                <w:color w:val="000000"/>
                <w:kern w:val="0"/>
                <w:szCs w:val="21"/>
                <w:lang w:bidi="ar"/>
              </w:rPr>
              <w:t>绿色低碳</w:t>
            </w:r>
          </w:p>
        </w:tc>
        <w:tc>
          <w:tcPr>
            <w:tcW w:w="475" w:type="dxa"/>
            <w:vMerge w:val="restart"/>
            <w:tcBorders>
              <w:top w:val="single" w:color="000000" w:sz="4" w:space="0"/>
              <w:left w:val="single" w:color="000000" w:sz="4" w:space="0"/>
              <w:right w:val="single" w:color="000000"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15</w:t>
            </w: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单位工业增加值能耗降低率</w:t>
            </w:r>
          </w:p>
        </w:tc>
        <w:tc>
          <w:tcPr>
            <w:tcW w:w="1013"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w:t>
            </w:r>
          </w:p>
        </w:tc>
        <w:tc>
          <w:tcPr>
            <w:tcW w:w="1394" w:type="dxa"/>
            <w:vMerge w:val="restart"/>
            <w:tcBorders>
              <w:top w:val="single" w:color="000000" w:sz="4" w:space="0"/>
              <w:left w:val="single" w:color="auto"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统计局</w:t>
            </w: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单位工业增加值水耗降低率</w:t>
            </w:r>
          </w:p>
        </w:tc>
        <w:tc>
          <w:tcPr>
            <w:tcW w:w="1013"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w:t>
            </w:r>
          </w:p>
        </w:tc>
        <w:tc>
          <w:tcPr>
            <w:tcW w:w="1394" w:type="dxa"/>
            <w:vMerge w:val="continue"/>
            <w:tcBorders>
              <w:left w:val="single" w:color="auto"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生态环境治理水平</w:t>
            </w:r>
          </w:p>
        </w:tc>
        <w:tc>
          <w:tcPr>
            <w:tcW w:w="1013"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w:t>
            </w:r>
          </w:p>
        </w:tc>
        <w:tc>
          <w:tcPr>
            <w:tcW w:w="582"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w:t>
            </w:r>
          </w:p>
        </w:tc>
        <w:tc>
          <w:tcPr>
            <w:tcW w:w="1394" w:type="dxa"/>
            <w:vMerge w:val="restart"/>
            <w:tcBorders>
              <w:left w:val="single" w:color="auto" w:sz="4" w:space="0"/>
              <w:right w:val="single" w:color="000000" w:sz="4" w:space="0"/>
            </w:tcBorders>
            <w:noWrap w:val="0"/>
            <w:vAlign w:val="center"/>
          </w:tcPr>
          <w:p>
            <w:pPr>
              <w:jc w:val="center"/>
              <w:rPr>
                <w:rFonts w:hint="eastAsia" w:ascii="宋体" w:hAnsi="宋体" w:cs="宋体"/>
                <w:color w:val="000000"/>
                <w:szCs w:val="21"/>
              </w:rPr>
            </w:pPr>
            <w:r>
              <w:rPr>
                <w:rFonts w:hint="eastAsia" w:ascii="宋体" w:hAnsi="宋体" w:cs="宋体"/>
                <w:color w:val="000000"/>
                <w:szCs w:val="21"/>
              </w:rPr>
              <w:t>生态环境局</w:t>
            </w:r>
          </w:p>
        </w:tc>
      </w:tr>
      <w:tr>
        <w:tblPrEx>
          <w:tblCellMar>
            <w:top w:w="0" w:type="dxa"/>
            <w:left w:w="108" w:type="dxa"/>
            <w:bottom w:w="0" w:type="dxa"/>
            <w:right w:w="108" w:type="dxa"/>
          </w:tblCellMar>
        </w:tblPrEx>
        <w:trPr>
          <w:trHeight w:val="1039" w:hRule="atLeast"/>
        </w:trPr>
        <w:tc>
          <w:tcPr>
            <w:tcW w:w="1611"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园区发生较大以上突发污染事件（不含次生的）</w:t>
            </w:r>
          </w:p>
        </w:tc>
        <w:tc>
          <w:tcPr>
            <w:tcW w:w="1595" w:type="dxa"/>
            <w:gridSpan w:val="2"/>
            <w:tcBorders>
              <w:top w:val="single" w:color="000000" w:sz="4" w:space="0"/>
              <w:left w:val="single" w:color="000000" w:sz="4" w:space="0"/>
              <w:bottom w:val="single" w:color="000000" w:sz="4" w:space="0"/>
              <w:right w:val="single" w:color="auto" w:sz="4" w:space="0"/>
            </w:tcBorders>
            <w:noWrap w:val="0"/>
            <w:vAlign w:val="center"/>
          </w:tcPr>
          <w:p>
            <w:pPr>
              <w:rPr>
                <w:rFonts w:hint="eastAsia" w:ascii="宋体" w:hAnsi="宋体" w:cs="宋体"/>
                <w:color w:val="000000"/>
                <w:szCs w:val="21"/>
              </w:rPr>
            </w:pPr>
            <w:r>
              <w:rPr>
                <w:rFonts w:hint="eastAsia" w:ascii="宋体" w:hAnsi="宋体" w:cs="宋体"/>
                <w:color w:val="000000"/>
                <w:kern w:val="0"/>
                <w:szCs w:val="21"/>
                <w:lang w:bidi="ar"/>
              </w:rPr>
              <w:t>较大每件</w:t>
            </w:r>
            <w:r>
              <w:rPr>
                <w:rFonts w:hint="eastAsia" w:ascii="宋体" w:hAnsi="宋体" w:cs="宋体"/>
                <w:color w:val="000000"/>
                <w:szCs w:val="21"/>
              </w:rPr>
              <w:t>-5分，较</w:t>
            </w:r>
            <w:r>
              <w:rPr>
                <w:rFonts w:ascii="宋体" w:hAnsi="宋体" w:cs="宋体"/>
                <w:color w:val="000000"/>
                <w:szCs w:val="21"/>
              </w:rPr>
              <w:t>大以上每</w:t>
            </w:r>
            <w:r>
              <w:rPr>
                <w:rFonts w:hint="eastAsia" w:ascii="宋体" w:hAnsi="宋体" w:cs="宋体"/>
                <w:color w:val="000000"/>
                <w:szCs w:val="21"/>
              </w:rPr>
              <w:t>件</w:t>
            </w:r>
            <w:r>
              <w:rPr>
                <w:rFonts w:ascii="宋体" w:hAnsi="宋体" w:cs="宋体"/>
                <w:color w:val="000000"/>
                <w:szCs w:val="21"/>
              </w:rPr>
              <w:t>-10</w:t>
            </w:r>
            <w:r>
              <w:rPr>
                <w:rFonts w:hint="eastAsia" w:ascii="宋体" w:hAnsi="宋体" w:cs="宋体"/>
                <w:color w:val="000000"/>
                <w:szCs w:val="21"/>
              </w:rPr>
              <w:t>分</w:t>
            </w:r>
            <w:r>
              <w:rPr>
                <w:rFonts w:ascii="宋体" w:hAnsi="宋体" w:cs="宋体"/>
                <w:color w:val="000000"/>
                <w:szCs w:val="21"/>
              </w:rPr>
              <w:t>。</w:t>
            </w:r>
          </w:p>
          <w:p>
            <w:pPr>
              <w:widowControl/>
              <w:textAlignment w:val="center"/>
              <w:rPr>
                <w:rFonts w:hint="eastAsia" w:ascii="宋体" w:hAnsi="宋体" w:cs="宋体"/>
                <w:color w:val="000000"/>
                <w:szCs w:val="21"/>
              </w:rPr>
            </w:pPr>
          </w:p>
        </w:tc>
        <w:tc>
          <w:tcPr>
            <w:tcW w:w="1394" w:type="dxa"/>
            <w:vMerge w:val="continue"/>
            <w:tcBorders>
              <w:left w:val="single" w:color="auto" w:sz="4" w:space="0"/>
              <w:bottom w:val="single" w:color="000000" w:sz="4" w:space="0"/>
              <w:right w:val="single" w:color="000000" w:sz="4" w:space="0"/>
            </w:tcBorders>
            <w:noWrap w:val="0"/>
            <w:vAlign w:val="center"/>
          </w:tcPr>
          <w:p>
            <w:pPr>
              <w:jc w:val="center"/>
              <w:rPr>
                <w:rFonts w:hint="eastAsia" w:ascii="宋体" w:hAnsi="宋体" w:cs="宋体"/>
                <w:color w:val="000000"/>
                <w:szCs w:val="21"/>
              </w:rPr>
            </w:pPr>
          </w:p>
        </w:tc>
      </w:tr>
      <w:tr>
        <w:tblPrEx>
          <w:tblCellMar>
            <w:top w:w="0" w:type="dxa"/>
            <w:left w:w="108" w:type="dxa"/>
            <w:bottom w:w="0" w:type="dxa"/>
            <w:right w:w="108" w:type="dxa"/>
          </w:tblCellMar>
        </w:tblPrEx>
        <w:trPr>
          <w:trHeight w:val="369" w:hRule="atLeast"/>
        </w:trPr>
        <w:tc>
          <w:tcPr>
            <w:tcW w:w="1611" w:type="dxa"/>
            <w:vMerge w:val="restart"/>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科技创新</w:t>
            </w:r>
          </w:p>
        </w:tc>
        <w:tc>
          <w:tcPr>
            <w:tcW w:w="475" w:type="dxa"/>
            <w:vMerge w:val="restart"/>
            <w:tcBorders>
              <w:top w:val="single" w:color="000000" w:sz="4" w:space="0"/>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15</w:t>
            </w: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规上工业企业研发费用占营业收入比重</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58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25</w:t>
            </w:r>
          </w:p>
        </w:tc>
        <w:tc>
          <w:tcPr>
            <w:tcW w:w="13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统计局</w:t>
            </w:r>
          </w:p>
        </w:tc>
      </w:tr>
      <w:tr>
        <w:tblPrEx>
          <w:tblCellMar>
            <w:top w:w="0" w:type="dxa"/>
            <w:left w:w="108" w:type="dxa"/>
            <w:bottom w:w="0" w:type="dxa"/>
            <w:right w:w="108" w:type="dxa"/>
          </w:tblCellMar>
        </w:tblPrEx>
        <w:trPr>
          <w:trHeight w:val="1236" w:hRule="atLeast"/>
        </w:trPr>
        <w:tc>
          <w:tcPr>
            <w:tcW w:w="1611" w:type="dxa"/>
            <w:vMerge w:val="continue"/>
            <w:tcBorders>
              <w:left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新获批自治区级以上重点实验室、工程技术研究中心、企业研发中心、企业技术中心、孵化器、众创空间数量</w:t>
            </w:r>
          </w:p>
        </w:tc>
        <w:tc>
          <w:tcPr>
            <w:tcW w:w="1013"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c>
          <w:tcPr>
            <w:tcW w:w="582" w:type="dxa"/>
            <w:tcBorders>
              <w:top w:val="single" w:color="000000" w:sz="4" w:space="0"/>
              <w:left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15</w:t>
            </w:r>
          </w:p>
        </w:tc>
        <w:tc>
          <w:tcPr>
            <w:tcW w:w="13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rPr>
            </w:pPr>
            <w:r>
              <w:rPr>
                <w:rFonts w:hint="eastAsia"/>
              </w:rPr>
              <w:t>科技局、</w:t>
            </w:r>
          </w:p>
          <w:p>
            <w:pPr>
              <w:widowControl/>
              <w:jc w:val="center"/>
              <w:textAlignment w:val="center"/>
              <w:rPr>
                <w:rFonts w:hint="eastAsia"/>
              </w:rPr>
            </w:pPr>
            <w:r>
              <w:rPr>
                <w:rFonts w:hint="eastAsia"/>
              </w:rPr>
              <w:t>发展改革委、</w:t>
            </w:r>
          </w:p>
          <w:p>
            <w:pPr>
              <w:widowControl/>
              <w:jc w:val="center"/>
              <w:textAlignment w:val="center"/>
              <w:rPr>
                <w:rFonts w:hint="eastAsia" w:ascii="宋体" w:hAnsi="宋体" w:cs="宋体"/>
                <w:color w:val="000000"/>
                <w:szCs w:val="21"/>
              </w:rPr>
            </w:pPr>
            <w:r>
              <w:rPr>
                <w:rFonts w:hint="eastAsia"/>
              </w:rPr>
              <w:t>工业和信息化局</w:t>
            </w:r>
          </w:p>
        </w:tc>
      </w:tr>
      <w:tr>
        <w:tblPrEx>
          <w:tblCellMar>
            <w:top w:w="0" w:type="dxa"/>
            <w:left w:w="108" w:type="dxa"/>
            <w:bottom w:w="0" w:type="dxa"/>
            <w:right w:w="108" w:type="dxa"/>
          </w:tblCellMar>
        </w:tblPrEx>
        <w:trPr>
          <w:trHeight w:val="369" w:hRule="atLeast"/>
        </w:trPr>
        <w:tc>
          <w:tcPr>
            <w:tcW w:w="1611" w:type="dxa"/>
            <w:vMerge w:val="continue"/>
            <w:tcBorders>
              <w:left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年度发明专利授权量</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件</w:t>
            </w:r>
          </w:p>
        </w:tc>
        <w:tc>
          <w:tcPr>
            <w:tcW w:w="58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13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市场监管局</w:t>
            </w:r>
          </w:p>
        </w:tc>
      </w:tr>
      <w:tr>
        <w:tblPrEx>
          <w:tblCellMar>
            <w:top w:w="0" w:type="dxa"/>
            <w:left w:w="108" w:type="dxa"/>
            <w:bottom w:w="0" w:type="dxa"/>
            <w:right w:w="108" w:type="dxa"/>
          </w:tblCellMar>
        </w:tblPrEx>
        <w:trPr>
          <w:trHeight w:val="433" w:hRule="atLeast"/>
        </w:trPr>
        <w:tc>
          <w:tcPr>
            <w:tcW w:w="1611" w:type="dxa"/>
            <w:vMerge w:val="continue"/>
            <w:tcBorders>
              <w:left w:val="single" w:color="000000"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高新技术企业产值占园区工业总产值比重                                                                                                                                                                                                                                                                                                                                                                                                                                                                                                                                                                                                                                                                                                                                                                                                                                                                                                                                                                                                                                                                                                                                                      </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58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13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统计局</w:t>
            </w:r>
          </w:p>
        </w:tc>
      </w:tr>
      <w:tr>
        <w:tblPrEx>
          <w:tblCellMar>
            <w:top w:w="0" w:type="dxa"/>
            <w:left w:w="108" w:type="dxa"/>
            <w:bottom w:w="0" w:type="dxa"/>
            <w:right w:w="108" w:type="dxa"/>
          </w:tblCellMar>
        </w:tblPrEx>
        <w:trPr>
          <w:trHeight w:val="535" w:hRule="atLeast"/>
        </w:trPr>
        <w:tc>
          <w:tcPr>
            <w:tcW w:w="1611" w:type="dxa"/>
            <w:vMerge w:val="continue"/>
            <w:tcBorders>
              <w:left w:val="single" w:color="000000" w:sz="4" w:space="0"/>
              <w:bottom w:val="single" w:color="auto"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bottom w:val="single" w:color="auto"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auto"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智慧园区建设水平</w:t>
            </w:r>
          </w:p>
        </w:tc>
        <w:tc>
          <w:tcPr>
            <w:tcW w:w="1013"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w:t>
            </w:r>
          </w:p>
        </w:tc>
        <w:tc>
          <w:tcPr>
            <w:tcW w:w="582"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15</w:t>
            </w:r>
          </w:p>
        </w:tc>
        <w:tc>
          <w:tcPr>
            <w:tcW w:w="13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rPr>
              <w:t>工业和信息化局</w:t>
            </w:r>
          </w:p>
        </w:tc>
      </w:tr>
      <w:tr>
        <w:tblPrEx>
          <w:tblCellMar>
            <w:top w:w="0" w:type="dxa"/>
            <w:left w:w="108" w:type="dxa"/>
            <w:bottom w:w="0" w:type="dxa"/>
            <w:right w:w="108" w:type="dxa"/>
          </w:tblCellMar>
        </w:tblPrEx>
        <w:trPr>
          <w:trHeight w:val="1009" w:hRule="atLeast"/>
        </w:trPr>
        <w:tc>
          <w:tcPr>
            <w:tcW w:w="1611" w:type="dxa"/>
            <w:vMerge w:val="continue"/>
            <w:tcBorders>
              <w:left w:val="single" w:color="000000" w:sz="4" w:space="0"/>
              <w:bottom w:val="single" w:color="auto" w:sz="4" w:space="0"/>
              <w:right w:val="single" w:color="000000"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000000" w:sz="4" w:space="0"/>
              <w:bottom w:val="single" w:color="auto"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000000" w:sz="4" w:space="0"/>
              <w:left w:val="single" w:color="000000" w:sz="4" w:space="0"/>
              <w:bottom w:val="single" w:color="auto" w:sz="4" w:space="0"/>
              <w:right w:val="single" w:color="000000"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新获批自治区级以上高新技术企业、科技型中小企业、专精特新企业数量</w:t>
            </w:r>
          </w:p>
        </w:tc>
        <w:tc>
          <w:tcPr>
            <w:tcW w:w="1013"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w:t>
            </w:r>
          </w:p>
        </w:tc>
        <w:tc>
          <w:tcPr>
            <w:tcW w:w="582"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15</w:t>
            </w:r>
          </w:p>
        </w:tc>
        <w:tc>
          <w:tcPr>
            <w:tcW w:w="13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kern w:val="0"/>
                <w:sz w:val="20"/>
                <w:szCs w:val="21"/>
                <w:lang w:bidi="ar"/>
              </w:rPr>
            </w:pPr>
            <w:r>
              <w:rPr>
                <w:rFonts w:hint="eastAsia" w:ascii="宋体" w:hAnsi="宋体" w:cs="宋体"/>
                <w:color w:val="000000"/>
                <w:kern w:val="0"/>
                <w:sz w:val="20"/>
                <w:szCs w:val="21"/>
                <w:lang w:bidi="ar"/>
              </w:rPr>
              <w:t>科技局、</w:t>
            </w:r>
          </w:p>
          <w:p>
            <w:pPr>
              <w:widowControl/>
              <w:jc w:val="center"/>
              <w:textAlignment w:val="center"/>
              <w:rPr>
                <w:rFonts w:hint="eastAsia" w:ascii="宋体" w:hAnsi="宋体" w:cs="宋体"/>
                <w:color w:val="000000"/>
                <w:kern w:val="0"/>
                <w:sz w:val="20"/>
                <w:szCs w:val="21"/>
                <w:lang w:bidi="ar"/>
              </w:rPr>
            </w:pPr>
            <w:r>
              <w:rPr>
                <w:rFonts w:hint="eastAsia"/>
                <w:sz w:val="20"/>
              </w:rPr>
              <w:t>工业和信息化局</w:t>
            </w:r>
          </w:p>
        </w:tc>
      </w:tr>
      <w:tr>
        <w:tblPrEx>
          <w:tblCellMar>
            <w:top w:w="0" w:type="dxa"/>
            <w:left w:w="108" w:type="dxa"/>
            <w:bottom w:w="0" w:type="dxa"/>
            <w:right w:w="108" w:type="dxa"/>
          </w:tblCellMar>
        </w:tblPrEx>
        <w:trPr>
          <w:trHeight w:val="369" w:hRule="atLeast"/>
        </w:trPr>
        <w:tc>
          <w:tcPr>
            <w:tcW w:w="161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招商引资</w:t>
            </w:r>
          </w:p>
        </w:tc>
        <w:tc>
          <w:tcPr>
            <w:tcW w:w="475" w:type="dxa"/>
            <w:vMerge w:val="restart"/>
            <w:tcBorders>
              <w:top w:val="single" w:color="auto" w:sz="4" w:space="0"/>
              <w:left w:val="single" w:color="auto" w:sz="4" w:space="0"/>
              <w:right w:val="single" w:color="auto"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15</w:t>
            </w: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新入园开工项目数（含新入驻标准化厂房项目）</w:t>
            </w:r>
          </w:p>
        </w:tc>
        <w:tc>
          <w:tcPr>
            <w:tcW w:w="1013"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szCs w:val="21"/>
              </w:rPr>
              <w:t>个</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30</w:t>
            </w:r>
          </w:p>
        </w:tc>
        <w:tc>
          <w:tcPr>
            <w:tcW w:w="1394" w:type="dxa"/>
            <w:tcBorders>
              <w:top w:val="single" w:color="000000"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区域经济</w:t>
            </w:r>
          </w:p>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合作局</w:t>
            </w:r>
          </w:p>
        </w:tc>
      </w:tr>
      <w:tr>
        <w:tblPrEx>
          <w:tblCellMar>
            <w:top w:w="0" w:type="dxa"/>
            <w:left w:w="108" w:type="dxa"/>
            <w:bottom w:w="0" w:type="dxa"/>
            <w:right w:w="108" w:type="dxa"/>
          </w:tblCellMar>
        </w:tblPrEx>
        <w:trPr>
          <w:trHeight w:val="1046" w:hRule="atLeast"/>
        </w:trPr>
        <w:tc>
          <w:tcPr>
            <w:tcW w:w="1611"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新入园开工项目完成投资额（含新入驻标准化厂房项目的设备投资）</w:t>
            </w:r>
          </w:p>
        </w:tc>
        <w:tc>
          <w:tcPr>
            <w:tcW w:w="1013"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万元</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70</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统计局负责规上项目；</w:t>
            </w:r>
          </w:p>
          <w:p>
            <w:pPr>
              <w:pStyle w:val="7"/>
              <w:jc w:val="center"/>
            </w:pPr>
            <w:r>
              <w:rPr>
                <w:rFonts w:hint="eastAsia" w:ascii="宋体"/>
                <w:color w:val="000000"/>
                <w:kern w:val="0"/>
                <w:szCs w:val="21"/>
                <w:lang w:bidi="ar"/>
              </w:rPr>
              <w:t>区域经济合作局负责</w:t>
            </w:r>
            <w:r>
              <w:rPr>
                <w:rFonts w:hint="eastAsia" w:ascii="宋体"/>
                <w:color w:val="000000"/>
                <w:szCs w:val="21"/>
              </w:rPr>
              <w:t>规下项目</w:t>
            </w:r>
          </w:p>
        </w:tc>
      </w:tr>
      <w:tr>
        <w:tblPrEx>
          <w:tblCellMar>
            <w:top w:w="0" w:type="dxa"/>
            <w:left w:w="108" w:type="dxa"/>
            <w:bottom w:w="0" w:type="dxa"/>
            <w:right w:w="108" w:type="dxa"/>
          </w:tblCellMar>
        </w:tblPrEx>
        <w:trPr>
          <w:trHeight w:val="521" w:hRule="atLeast"/>
        </w:trPr>
        <w:tc>
          <w:tcPr>
            <w:tcW w:w="161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p>
        </w:tc>
        <w:tc>
          <w:tcPr>
            <w:tcW w:w="475" w:type="dxa"/>
            <w:vMerge w:val="continue"/>
            <w:tcBorders>
              <w:left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新引进中国五百强企业</w:t>
            </w:r>
          </w:p>
        </w:tc>
        <w:tc>
          <w:tcPr>
            <w:tcW w:w="1595"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每户+10分</w:t>
            </w:r>
          </w:p>
        </w:tc>
        <w:tc>
          <w:tcPr>
            <w:tcW w:w="1394"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区域经济</w:t>
            </w:r>
          </w:p>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合作局</w:t>
            </w:r>
          </w:p>
        </w:tc>
      </w:tr>
      <w:tr>
        <w:tblPrEx>
          <w:tblCellMar>
            <w:top w:w="0" w:type="dxa"/>
            <w:left w:w="108" w:type="dxa"/>
            <w:bottom w:w="0" w:type="dxa"/>
            <w:right w:w="108" w:type="dxa"/>
          </w:tblCellMar>
        </w:tblPrEx>
        <w:trPr>
          <w:trHeight w:val="444" w:hRule="atLeast"/>
        </w:trPr>
        <w:tc>
          <w:tcPr>
            <w:tcW w:w="1611"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c>
          <w:tcPr>
            <w:tcW w:w="475" w:type="dxa"/>
            <w:vMerge w:val="continue"/>
            <w:tcBorders>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新引进中国民营五百强企业</w:t>
            </w:r>
          </w:p>
        </w:tc>
        <w:tc>
          <w:tcPr>
            <w:tcW w:w="159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Cs w:val="21"/>
              </w:rPr>
            </w:pPr>
            <w:r>
              <w:rPr>
                <w:rFonts w:hint="eastAsia" w:ascii="宋体" w:hAnsi="宋体" w:cs="宋体"/>
                <w:color w:val="000000"/>
                <w:szCs w:val="21"/>
              </w:rPr>
              <w:t>每户+5分</w:t>
            </w:r>
          </w:p>
        </w:tc>
        <w:tc>
          <w:tcPr>
            <w:tcW w:w="1394"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r>
      <w:tr>
        <w:tblPrEx>
          <w:tblCellMar>
            <w:top w:w="0" w:type="dxa"/>
            <w:left w:w="108" w:type="dxa"/>
            <w:bottom w:w="0" w:type="dxa"/>
            <w:right w:w="108" w:type="dxa"/>
          </w:tblCellMar>
        </w:tblPrEx>
        <w:trPr>
          <w:trHeight w:val="524" w:hRule="atLeast"/>
        </w:trPr>
        <w:tc>
          <w:tcPr>
            <w:tcW w:w="1611"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cs="宋体"/>
                <w:color w:val="000000"/>
                <w:szCs w:val="21"/>
              </w:rPr>
            </w:pPr>
            <w:r>
              <w:rPr>
                <w:rFonts w:hint="eastAsia" w:ascii="宋体" w:hAnsi="宋体" w:cs="宋体"/>
                <w:color w:val="000000"/>
                <w:szCs w:val="21"/>
              </w:rPr>
              <w:t>基础设施建设</w:t>
            </w:r>
          </w:p>
        </w:tc>
        <w:tc>
          <w:tcPr>
            <w:tcW w:w="47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15</w:t>
            </w: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年底园区路网密度</w:t>
            </w:r>
          </w:p>
        </w:tc>
        <w:tc>
          <w:tcPr>
            <w:tcW w:w="1013"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rPr>
              <w:t>公里/平方公里</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Cs w:val="21"/>
                <w:lang w:bidi="ar"/>
              </w:rPr>
              <w:t>40</w:t>
            </w:r>
          </w:p>
        </w:tc>
        <w:tc>
          <w:tcPr>
            <w:tcW w:w="1394"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cs="宋体"/>
                <w:color w:val="000000"/>
                <w:szCs w:val="21"/>
              </w:rPr>
            </w:pPr>
            <w:r>
              <w:rPr>
                <w:rFonts w:hint="eastAsia" w:ascii="宋体" w:hAnsi="宋体" w:cs="宋体"/>
                <w:color w:val="000000"/>
                <w:kern w:val="0"/>
                <w:szCs w:val="21"/>
                <w:lang w:bidi="ar"/>
              </w:rPr>
              <w:t>工业和信息化局</w:t>
            </w:r>
          </w:p>
        </w:tc>
      </w:tr>
      <w:tr>
        <w:tblPrEx>
          <w:tblCellMar>
            <w:top w:w="0" w:type="dxa"/>
            <w:left w:w="108" w:type="dxa"/>
            <w:bottom w:w="0" w:type="dxa"/>
            <w:right w:w="108" w:type="dxa"/>
          </w:tblCellMar>
        </w:tblPrEx>
        <w:trPr>
          <w:trHeight w:val="369" w:hRule="atLeast"/>
        </w:trPr>
        <w:tc>
          <w:tcPr>
            <w:tcW w:w="1611"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c>
          <w:tcPr>
            <w:tcW w:w="47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新增基础设施建设投资完成总额</w:t>
            </w:r>
          </w:p>
        </w:tc>
        <w:tc>
          <w:tcPr>
            <w:tcW w:w="1013"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亿元</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40</w:t>
            </w:r>
          </w:p>
        </w:tc>
        <w:tc>
          <w:tcPr>
            <w:tcW w:w="1394"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r>
      <w:tr>
        <w:tblPrEx>
          <w:tblCellMar>
            <w:top w:w="0" w:type="dxa"/>
            <w:left w:w="108" w:type="dxa"/>
            <w:bottom w:w="0" w:type="dxa"/>
            <w:right w:w="108" w:type="dxa"/>
          </w:tblCellMar>
        </w:tblPrEx>
        <w:trPr>
          <w:trHeight w:val="369" w:hRule="atLeast"/>
        </w:trPr>
        <w:tc>
          <w:tcPr>
            <w:tcW w:w="1611"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c>
          <w:tcPr>
            <w:tcW w:w="47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cs="宋体"/>
                <w:color w:val="000000"/>
                <w:kern w:val="0"/>
                <w:szCs w:val="21"/>
                <w:lang w:bidi="ar"/>
              </w:rPr>
            </w:pPr>
          </w:p>
        </w:tc>
        <w:tc>
          <w:tcPr>
            <w:tcW w:w="4042" w:type="dxa"/>
            <w:tcBorders>
              <w:top w:val="single" w:color="auto" w:sz="4" w:space="0"/>
              <w:left w:val="single" w:color="auto" w:sz="4" w:space="0"/>
              <w:bottom w:val="single" w:color="auto" w:sz="4" w:space="0"/>
              <w:right w:val="single" w:color="auto" w:sz="4" w:space="0"/>
            </w:tcBorders>
            <w:noWrap w:val="0"/>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公用固废渣场、污水处理厂，集中供热保障度</w:t>
            </w:r>
          </w:p>
        </w:tc>
        <w:tc>
          <w:tcPr>
            <w:tcW w:w="1013"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58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ascii="宋体" w:hAnsi="宋体" w:cs="宋体"/>
                <w:color w:val="000000"/>
                <w:kern w:val="0"/>
                <w:sz w:val="24"/>
                <w:szCs w:val="24"/>
              </w:rPr>
            </w:pPr>
            <w:r>
              <w:rPr>
                <w:rFonts w:hint="eastAsia" w:ascii="宋体" w:hAnsi="宋体" w:cs="宋体"/>
                <w:color w:val="000000"/>
                <w:kern w:val="0"/>
                <w:szCs w:val="21"/>
                <w:lang w:bidi="ar"/>
              </w:rPr>
              <w:t>20</w:t>
            </w:r>
          </w:p>
        </w:tc>
        <w:tc>
          <w:tcPr>
            <w:tcW w:w="1394"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p>
        </w:tc>
      </w:tr>
    </w:tbl>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rPr>
          <w:rFonts w:hint="eastAsia" w:ascii="宋体"/>
          <w:b/>
          <w:bCs/>
          <w:color w:val="000000"/>
          <w:kern w:val="0"/>
          <w:sz w:val="36"/>
          <w:szCs w:val="36"/>
          <w:lang w:bidi="ar"/>
        </w:rPr>
      </w:pPr>
    </w:p>
    <w:p>
      <w:pPr>
        <w:pStyle w:val="7"/>
        <w:spacing w:line="560" w:lineRule="exact"/>
        <w:rPr>
          <w:rFonts w:hint="eastAsia" w:ascii="黑体" w:hAnsi="黑体" w:eastAsia="黑体" w:cs="仿宋"/>
          <w:color w:val="000000"/>
          <w:kern w:val="0"/>
          <w:sz w:val="32"/>
          <w:szCs w:val="32"/>
          <w:lang w:bidi="ar"/>
        </w:rPr>
      </w:pPr>
      <w:r>
        <w:rPr>
          <w:rFonts w:hint="eastAsia" w:ascii="黑体" w:hAnsi="黑体" w:eastAsia="黑体" w:cs="仿宋"/>
          <w:color w:val="000000"/>
          <w:kern w:val="0"/>
          <w:sz w:val="32"/>
          <w:szCs w:val="32"/>
          <w:lang w:bidi="ar"/>
        </w:rPr>
        <w:t>附件2</w:t>
      </w:r>
    </w:p>
    <w:p>
      <w:pPr>
        <w:pStyle w:val="7"/>
        <w:spacing w:line="560" w:lineRule="exact"/>
        <w:jc w:val="center"/>
        <w:rPr>
          <w:rFonts w:ascii="黑体" w:hAnsi="黑体" w:eastAsia="黑体" w:cs="黑体"/>
          <w:color w:val="000000"/>
          <w:kern w:val="0"/>
          <w:sz w:val="36"/>
          <w:szCs w:val="36"/>
          <w:lang w:bidi="ar"/>
        </w:rPr>
      </w:pPr>
    </w:p>
    <w:p>
      <w:pPr>
        <w:pStyle w:val="7"/>
        <w:spacing w:line="560" w:lineRule="exact"/>
        <w:jc w:val="center"/>
        <w:rPr>
          <w:rFonts w:ascii="方正小标宋简体" w:hAnsi="黑体" w:eastAsia="方正小标宋简体" w:cs="黑体"/>
          <w:color w:val="000000"/>
          <w:kern w:val="0"/>
          <w:sz w:val="44"/>
          <w:szCs w:val="44"/>
          <w:lang w:bidi="ar"/>
        </w:rPr>
      </w:pPr>
      <w:r>
        <w:rPr>
          <w:rFonts w:hint="eastAsia" w:ascii="方正小标宋简体" w:hAnsi="黑体" w:eastAsia="方正小标宋简体" w:cs="黑体"/>
          <w:color w:val="000000"/>
          <w:kern w:val="0"/>
          <w:sz w:val="44"/>
          <w:szCs w:val="44"/>
          <w:lang w:bidi="ar"/>
        </w:rPr>
        <w:t>赤峰市工业园区考核评价计分方法及</w:t>
      </w:r>
    </w:p>
    <w:p>
      <w:pPr>
        <w:pStyle w:val="7"/>
        <w:spacing w:line="560" w:lineRule="exact"/>
        <w:jc w:val="center"/>
        <w:rPr>
          <w:rFonts w:hint="eastAsia" w:ascii="方正小标宋简体" w:hAnsi="黑体" w:eastAsia="方正小标宋简体" w:cs="黑体"/>
          <w:color w:val="000000"/>
          <w:kern w:val="0"/>
          <w:sz w:val="44"/>
          <w:szCs w:val="44"/>
          <w:lang w:bidi="ar"/>
        </w:rPr>
      </w:pPr>
      <w:r>
        <w:rPr>
          <w:rFonts w:hint="eastAsia" w:ascii="方正小标宋简体" w:hAnsi="黑体" w:eastAsia="方正小标宋简体" w:cs="黑体"/>
          <w:color w:val="000000"/>
          <w:kern w:val="0"/>
          <w:sz w:val="44"/>
          <w:szCs w:val="44"/>
          <w:lang w:bidi="ar"/>
        </w:rPr>
        <w:t>指标说明</w:t>
      </w:r>
    </w:p>
    <w:p>
      <w:pPr>
        <w:pStyle w:val="2"/>
        <w:spacing w:line="560" w:lineRule="exact"/>
        <w:rPr>
          <w:rFonts w:hint="eastAsia" w:ascii="黑体" w:hAnsi="黑体" w:eastAsia="黑体" w:cs="黑体"/>
          <w:color w:val="000000"/>
          <w:szCs w:val="32"/>
        </w:rPr>
      </w:pPr>
    </w:p>
    <w:p>
      <w:pPr>
        <w:pStyle w:val="2"/>
        <w:numPr>
          <w:ilvl w:val="0"/>
          <w:numId w:val="1"/>
        </w:numPr>
        <w:spacing w:line="560" w:lineRule="exact"/>
        <w:rPr>
          <w:rFonts w:hint="eastAsia" w:ascii="黑体" w:hAnsi="黑体" w:eastAsia="黑体" w:cs="黑体"/>
          <w:color w:val="000000"/>
          <w:szCs w:val="32"/>
        </w:rPr>
      </w:pPr>
      <w:r>
        <w:rPr>
          <w:rFonts w:hint="eastAsia" w:ascii="黑体" w:hAnsi="黑体" w:eastAsia="黑体" w:cs="黑体"/>
          <w:color w:val="000000"/>
          <w:szCs w:val="32"/>
        </w:rPr>
        <w:t>考核评价计分</w:t>
      </w:r>
      <w:r>
        <w:rPr>
          <w:rFonts w:ascii="黑体" w:hAnsi="黑体" w:eastAsia="黑体" w:cs="黑体"/>
          <w:color w:val="000000"/>
          <w:szCs w:val="32"/>
        </w:rPr>
        <w:t>方</w:t>
      </w:r>
      <w:r>
        <w:rPr>
          <w:rFonts w:hint="eastAsia" w:ascii="黑体" w:hAnsi="黑体" w:eastAsia="黑体" w:cs="黑体"/>
          <w:color w:val="000000"/>
          <w:szCs w:val="32"/>
        </w:rPr>
        <w:t>法</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计分采用百分制。一级评价指标总分值设置为100；二级指标按权重设置相应分值，同一一级指标下的二级指标分值之和为100；二级指标的加分、减分项单独赋分。</w:t>
      </w:r>
    </w:p>
    <w:tbl>
      <w:tblPr>
        <w:tblStyle w:val="5"/>
        <w:tblW w:w="0" w:type="auto"/>
        <w:jc w:val="center"/>
        <w:tblLayout w:type="fixed"/>
        <w:tblCellMar>
          <w:top w:w="0" w:type="dxa"/>
          <w:left w:w="108" w:type="dxa"/>
          <w:bottom w:w="0" w:type="dxa"/>
          <w:right w:w="108" w:type="dxa"/>
        </w:tblCellMar>
      </w:tblPr>
      <w:tblGrid>
        <w:gridCol w:w="871"/>
        <w:gridCol w:w="900"/>
        <w:gridCol w:w="3587"/>
        <w:gridCol w:w="1050"/>
        <w:gridCol w:w="737"/>
        <w:gridCol w:w="1320"/>
      </w:tblGrid>
      <w:tr>
        <w:tblPrEx>
          <w:tblCellMar>
            <w:top w:w="0" w:type="dxa"/>
            <w:left w:w="108" w:type="dxa"/>
            <w:bottom w:w="0" w:type="dxa"/>
            <w:right w:w="108" w:type="dxa"/>
          </w:tblCellMar>
        </w:tblPrEx>
        <w:trPr>
          <w:trHeight w:val="736"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sz w:val="24"/>
                <w:szCs w:val="24"/>
              </w:rPr>
              <w:t>一级指标</w:t>
            </w:r>
          </w:p>
        </w:tc>
        <w:tc>
          <w:tcPr>
            <w:tcW w:w="90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kern w:val="0"/>
                <w:sz w:val="24"/>
                <w:szCs w:val="24"/>
                <w:lang w:bidi="ar"/>
              </w:rPr>
            </w:pPr>
            <w:r>
              <w:rPr>
                <w:rFonts w:hint="eastAsia" w:ascii="方正黑体_GBK" w:hAnsi="方正黑体_GBK" w:eastAsia="方正黑体_GBK" w:cs="方正黑体_GBK"/>
                <w:color w:val="000000"/>
                <w:kern w:val="0"/>
                <w:sz w:val="24"/>
                <w:szCs w:val="24"/>
                <w:lang w:bidi="ar"/>
              </w:rPr>
              <w:t>分值</w:t>
            </w:r>
          </w:p>
        </w:tc>
        <w:tc>
          <w:tcPr>
            <w:tcW w:w="3587"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二级指标</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单位</w:t>
            </w:r>
          </w:p>
        </w:tc>
        <w:tc>
          <w:tcPr>
            <w:tcW w:w="737"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分值</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tLeast"/>
              <w:jc w:val="center"/>
              <w:textAlignment w:val="center"/>
              <w:rPr>
                <w:rFonts w:hint="eastAsia" w:ascii="方正黑体_GBK" w:hAnsi="方正黑体_GBK" w:eastAsia="方正黑体_GBK" w:cs="方正黑体_GBK"/>
                <w:color w:val="000000"/>
                <w:sz w:val="24"/>
                <w:szCs w:val="24"/>
              </w:rPr>
            </w:pPr>
            <w:r>
              <w:rPr>
                <w:rFonts w:hint="eastAsia" w:ascii="方正黑体_GBK" w:hAnsi="方正黑体_GBK" w:eastAsia="方正黑体_GBK" w:cs="方正黑体_GBK"/>
                <w:color w:val="000000"/>
                <w:kern w:val="0"/>
                <w:sz w:val="24"/>
                <w:szCs w:val="24"/>
                <w:lang w:bidi="ar"/>
              </w:rPr>
              <w:t>责任单位</w:t>
            </w:r>
          </w:p>
        </w:tc>
      </w:tr>
      <w:tr>
        <w:tblPrEx>
          <w:tblCellMar>
            <w:top w:w="0" w:type="dxa"/>
            <w:left w:w="108" w:type="dxa"/>
            <w:bottom w:w="0" w:type="dxa"/>
            <w:right w:w="108" w:type="dxa"/>
          </w:tblCellMar>
        </w:tblPrEx>
        <w:trPr>
          <w:trHeight w:val="369" w:hRule="atLeast"/>
          <w:jc w:val="center"/>
        </w:trPr>
        <w:tc>
          <w:tcPr>
            <w:tcW w:w="871" w:type="dxa"/>
            <w:vMerge w:val="restart"/>
            <w:tcBorders>
              <w:top w:val="single" w:color="auto" w:sz="4" w:space="0"/>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r>
              <w:rPr>
                <w:rFonts w:hint="eastAsia" w:ascii="宋体" w:hAnsi="宋体" w:cs="宋体"/>
                <w:color w:val="000000"/>
                <w:szCs w:val="21"/>
              </w:rPr>
              <w:t>A1</w:t>
            </w:r>
          </w:p>
        </w:tc>
        <w:tc>
          <w:tcPr>
            <w:tcW w:w="900" w:type="dxa"/>
            <w:vMerge w:val="restart"/>
            <w:tcBorders>
              <w:top w:val="single" w:color="auto" w:sz="4" w:space="0"/>
              <w:left w:val="single" w:color="000000"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65</w:t>
            </w:r>
          </w:p>
        </w:tc>
        <w:tc>
          <w:tcPr>
            <w:tcW w:w="3587"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A11</w:t>
            </w:r>
          </w:p>
        </w:tc>
        <w:tc>
          <w:tcPr>
            <w:tcW w:w="1050" w:type="dxa"/>
            <w:tcBorders>
              <w:top w:val="single" w:color="auto"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737" w:type="dxa"/>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ascii="宋体" w:hAnsi="宋体" w:cs="宋体"/>
                <w:color w:val="000000"/>
                <w:szCs w:val="21"/>
              </w:rPr>
            </w:pPr>
            <w:r>
              <w:rPr>
                <w:rFonts w:hint="eastAsia" w:ascii="宋体" w:hAnsi="宋体" w:cs="宋体"/>
                <w:color w:val="000000"/>
                <w:szCs w:val="21"/>
              </w:rPr>
              <w:t>P11</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r>
      <w:tr>
        <w:tblPrEx>
          <w:tblCellMar>
            <w:top w:w="0" w:type="dxa"/>
            <w:left w:w="108" w:type="dxa"/>
            <w:bottom w:w="0" w:type="dxa"/>
            <w:right w:w="108" w:type="dxa"/>
          </w:tblCellMar>
        </w:tblPrEx>
        <w:trPr>
          <w:trHeight w:val="369" w:hRule="atLeast"/>
          <w:jc w:val="center"/>
        </w:trPr>
        <w:tc>
          <w:tcPr>
            <w:tcW w:w="87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900" w:type="dxa"/>
            <w:vMerge w:val="continue"/>
            <w:tcBorders>
              <w:left w:val="single" w:color="000000"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p>
        </w:tc>
        <w:tc>
          <w:tcPr>
            <w:tcW w:w="3587"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A12</w:t>
            </w:r>
          </w:p>
        </w:tc>
        <w:tc>
          <w:tcPr>
            <w:tcW w:w="1050"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737" w:type="dxa"/>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hint="eastAsia" w:ascii="宋体" w:hAnsi="宋体" w:cs="宋体"/>
                <w:color w:val="000000"/>
                <w:szCs w:val="21"/>
              </w:rPr>
            </w:pPr>
            <w:r>
              <w:rPr>
                <w:rFonts w:hint="eastAsia" w:ascii="宋体" w:hAnsi="宋体" w:cs="宋体"/>
                <w:color w:val="000000"/>
                <w:kern w:val="0"/>
                <w:szCs w:val="21"/>
                <w:lang w:bidi="ar"/>
              </w:rPr>
              <w:t>P12</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w:t>
            </w:r>
          </w:p>
        </w:tc>
      </w:tr>
      <w:tr>
        <w:tblPrEx>
          <w:tblCellMar>
            <w:top w:w="0" w:type="dxa"/>
            <w:left w:w="108" w:type="dxa"/>
            <w:bottom w:w="0" w:type="dxa"/>
            <w:right w:w="108" w:type="dxa"/>
          </w:tblCellMar>
        </w:tblPrEx>
        <w:trPr>
          <w:trHeight w:val="369" w:hRule="atLeast"/>
          <w:jc w:val="center"/>
        </w:trPr>
        <w:tc>
          <w:tcPr>
            <w:tcW w:w="871" w:type="dxa"/>
            <w:vMerge w:val="continue"/>
            <w:tcBorders>
              <w:left w:val="single" w:color="000000" w:sz="4" w:space="0"/>
              <w:right w:val="single" w:color="000000" w:sz="4" w:space="0"/>
            </w:tcBorders>
            <w:noWrap w:val="0"/>
            <w:vAlign w:val="center"/>
          </w:tcPr>
          <w:p>
            <w:pPr>
              <w:tabs>
                <w:tab w:val="left" w:pos="415"/>
              </w:tabs>
              <w:jc w:val="center"/>
              <w:rPr>
                <w:rFonts w:hint="eastAsia" w:ascii="宋体" w:hAnsi="宋体" w:cs="宋体"/>
                <w:color w:val="000000"/>
                <w:szCs w:val="21"/>
              </w:rPr>
            </w:pPr>
          </w:p>
        </w:tc>
        <w:tc>
          <w:tcPr>
            <w:tcW w:w="900" w:type="dxa"/>
            <w:vMerge w:val="continue"/>
            <w:tcBorders>
              <w:left w:val="single" w:color="000000" w:sz="4" w:space="0"/>
              <w:right w:val="single" w:color="000000" w:sz="4" w:space="0"/>
            </w:tcBorders>
            <w:noWrap w:val="0"/>
            <w:vAlign w:val="center"/>
          </w:tcPr>
          <w:p>
            <w:pPr>
              <w:widowControl/>
              <w:jc w:val="center"/>
              <w:textAlignment w:val="center"/>
              <w:rPr>
                <w:rFonts w:hint="eastAsia" w:ascii="宋体" w:hAnsi="宋体" w:cs="宋体"/>
                <w:color w:val="000000"/>
                <w:kern w:val="0"/>
                <w:szCs w:val="21"/>
                <w:lang w:bidi="ar"/>
              </w:rPr>
            </w:pPr>
          </w:p>
        </w:tc>
        <w:tc>
          <w:tcPr>
            <w:tcW w:w="3587" w:type="dxa"/>
            <w:tcBorders>
              <w:top w:val="single" w:color="auto"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A13</w:t>
            </w:r>
          </w:p>
        </w:tc>
        <w:tc>
          <w:tcPr>
            <w:tcW w:w="1050"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737" w:type="dxa"/>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hint="eastAsia" w:ascii="宋体" w:hAnsi="宋体" w:cs="宋体"/>
                <w:color w:val="000000"/>
                <w:szCs w:val="21"/>
              </w:rPr>
            </w:pPr>
            <w:r>
              <w:rPr>
                <w:rFonts w:hint="eastAsia" w:ascii="宋体" w:hAnsi="宋体" w:cs="宋体"/>
                <w:color w:val="000000"/>
                <w:szCs w:val="21"/>
              </w:rPr>
              <w:t>P13</w:t>
            </w:r>
          </w:p>
        </w:tc>
        <w:tc>
          <w:tcPr>
            <w:tcW w:w="1320" w:type="dxa"/>
            <w:tcBorders>
              <w:top w:val="single" w:color="auto" w:sz="4" w:space="0"/>
              <w:left w:val="single" w:color="auto"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r>
      <w:tr>
        <w:tblPrEx>
          <w:tblCellMar>
            <w:top w:w="0" w:type="dxa"/>
            <w:left w:w="108" w:type="dxa"/>
            <w:bottom w:w="0" w:type="dxa"/>
            <w:right w:w="108" w:type="dxa"/>
          </w:tblCellMar>
        </w:tblPrEx>
        <w:trPr>
          <w:trHeight w:val="369"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000000"/>
                <w:szCs w:val="21"/>
              </w:rPr>
            </w:pPr>
            <w:r>
              <w:rPr>
                <w:rFonts w:hint="eastAsia" w:ascii="宋体" w:hAnsi="宋体" w:cs="宋体"/>
                <w:color w:val="000000"/>
                <w:szCs w:val="21"/>
              </w:rPr>
              <w:t>A2</w:t>
            </w:r>
          </w:p>
        </w:tc>
        <w:tc>
          <w:tcPr>
            <w:tcW w:w="900"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cs="宋体"/>
                <w:color w:val="000000"/>
                <w:kern w:val="0"/>
                <w:szCs w:val="21"/>
                <w:lang w:bidi="ar"/>
              </w:rPr>
            </w:pPr>
            <w:r>
              <w:rPr>
                <w:rFonts w:ascii="宋体" w:hAnsi="宋体" w:cs="宋体"/>
                <w:color w:val="000000"/>
                <w:kern w:val="0"/>
                <w:szCs w:val="21"/>
                <w:lang w:bidi="ar"/>
              </w:rPr>
              <w:t>35</w:t>
            </w:r>
          </w:p>
        </w:tc>
        <w:tc>
          <w:tcPr>
            <w:tcW w:w="3587" w:type="dxa"/>
            <w:tcBorders>
              <w:top w:val="single" w:color="000000" w:sz="4" w:space="0"/>
              <w:left w:val="single" w:color="auto" w:sz="4" w:space="0"/>
              <w:bottom w:val="single" w:color="000000" w:sz="4" w:space="0"/>
              <w:right w:val="single" w:color="000000" w:sz="4" w:space="0"/>
            </w:tcBorders>
            <w:noWrap w:val="0"/>
            <w:vAlign w:val="center"/>
          </w:tcPr>
          <w:p>
            <w:pPr>
              <w:widowControl/>
              <w:snapToGrid w:val="0"/>
              <w:jc w:val="left"/>
              <w:textAlignment w:val="center"/>
              <w:rPr>
                <w:rFonts w:hint="eastAsia" w:ascii="宋体" w:hAnsi="宋体" w:cs="宋体"/>
                <w:color w:val="000000"/>
                <w:szCs w:val="21"/>
              </w:rPr>
            </w:pPr>
            <w:r>
              <w:rPr>
                <w:rFonts w:ascii="宋体" w:hAnsi="宋体" w:cs="宋体"/>
                <w:color w:val="000000"/>
                <w:szCs w:val="21"/>
              </w:rPr>
              <w:t>...</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c>
          <w:tcPr>
            <w:tcW w:w="737" w:type="dxa"/>
            <w:tcBorders>
              <w:top w:val="single" w:color="auto"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w:t>
            </w:r>
          </w:p>
        </w:tc>
      </w:tr>
    </w:tbl>
    <w:p>
      <w:pPr>
        <w:pStyle w:val="7"/>
        <w:spacing w:line="560" w:lineRule="exact"/>
        <w:ind w:firstLine="640" w:firstLineChars="200"/>
        <w:rPr>
          <w:rFonts w:hint="eastAsia" w:ascii="仿宋_GB2312" w:hAnsi="仿宋" w:eastAsia="仿宋_GB2312" w:cs="仿宋_GB2312"/>
          <w:sz w:val="32"/>
          <w:szCs w:val="32"/>
        </w:rPr>
      </w:pPr>
      <w:r>
        <w:rPr>
          <w:rFonts w:hint="eastAsia" w:ascii="楷体_GB2312" w:hAnsi="楷体" w:eastAsia="楷体_GB2312" w:cs="楷体"/>
          <w:sz w:val="32"/>
          <w:szCs w:val="32"/>
        </w:rPr>
        <w:t>（一）二级指标中定量指标的分值计算。</w:t>
      </w:r>
      <w:r>
        <w:rPr>
          <w:rFonts w:hint="eastAsia" w:ascii="仿宋_GB2312" w:hAnsi="仿宋" w:eastAsia="仿宋_GB2312" w:cs="仿宋_GB2312"/>
          <w:sz w:val="32"/>
          <w:szCs w:val="32"/>
        </w:rPr>
        <w:t>对二级指标中的定量数据（含百分数），采用占比法计算得分：Aij=本产业园二级指标数值/∑全市各产业园同个二级指标数值×Pij。例如:A11为规上工业总产值，那么Aij=本产业园的规上工业总产值/全市所有产业园的规上工业总产值之和×P11。</w:t>
      </w:r>
    </w:p>
    <w:p>
      <w:pPr>
        <w:pStyle w:val="7"/>
        <w:spacing w:line="560" w:lineRule="exact"/>
        <w:ind w:firstLine="640" w:firstLineChars="200"/>
        <w:rPr>
          <w:rFonts w:hint="eastAsia" w:ascii="仿宋_GB2312" w:hAnsi="仿宋" w:eastAsia="仿宋_GB2312" w:cs="仿宋_GB2312"/>
          <w:sz w:val="32"/>
          <w:szCs w:val="32"/>
        </w:rPr>
      </w:pPr>
      <w:r>
        <w:rPr>
          <w:rFonts w:hint="eastAsia" w:ascii="楷体_GB2312" w:hAnsi="楷体" w:eastAsia="楷体_GB2312" w:cs="楷体"/>
          <w:sz w:val="32"/>
          <w:szCs w:val="32"/>
        </w:rPr>
        <w:t>（二）</w:t>
      </w:r>
      <w:r>
        <w:rPr>
          <w:rFonts w:ascii="楷体_GB2312" w:hAnsi="楷体" w:eastAsia="楷体_GB2312" w:cs="楷体"/>
          <w:sz w:val="32"/>
          <w:szCs w:val="32"/>
        </w:rPr>
        <w:t>二级指标中</w:t>
      </w:r>
      <w:r>
        <w:rPr>
          <w:rFonts w:hint="eastAsia" w:ascii="楷体_GB2312" w:hAnsi="楷体" w:eastAsia="楷体_GB2312" w:cs="楷体"/>
          <w:sz w:val="32"/>
          <w:szCs w:val="32"/>
        </w:rPr>
        <w:t>定</w:t>
      </w:r>
      <w:r>
        <w:rPr>
          <w:rFonts w:ascii="楷体_GB2312" w:hAnsi="楷体" w:eastAsia="楷体_GB2312" w:cs="楷体"/>
          <w:sz w:val="32"/>
          <w:szCs w:val="32"/>
        </w:rPr>
        <w:t>性指标的</w:t>
      </w:r>
      <w:r>
        <w:rPr>
          <w:rFonts w:hint="eastAsia" w:ascii="楷体_GB2312" w:hAnsi="楷体" w:eastAsia="楷体_GB2312" w:cs="楷体"/>
          <w:sz w:val="32"/>
          <w:szCs w:val="32"/>
        </w:rPr>
        <w:t>分值计算。</w:t>
      </w:r>
      <w:r>
        <w:rPr>
          <w:rFonts w:hint="eastAsia" w:ascii="仿宋_GB2312" w:hAnsi="仿宋" w:eastAsia="仿宋_GB2312" w:cs="仿宋_GB2312"/>
          <w:sz w:val="32"/>
          <w:szCs w:val="32"/>
        </w:rPr>
        <w:t>对二级指标中的定性数据，完成得满分，未完成不得分。</w:t>
      </w:r>
    </w:p>
    <w:p>
      <w:pPr>
        <w:pStyle w:val="7"/>
        <w:spacing w:line="560" w:lineRule="exact"/>
        <w:ind w:firstLine="640" w:firstLineChars="200"/>
        <w:rPr>
          <w:rFonts w:hint="eastAsia" w:ascii="仿宋_GB2312" w:hAnsi="仿宋" w:eastAsia="仿宋_GB2312" w:cs="仿宋_GB2312"/>
          <w:sz w:val="32"/>
          <w:szCs w:val="32"/>
        </w:rPr>
      </w:pPr>
      <w:r>
        <w:rPr>
          <w:rFonts w:hint="eastAsia" w:ascii="楷体_GB2312" w:hAnsi="楷体" w:eastAsia="楷体_GB2312" w:cs="楷体"/>
          <w:sz w:val="32"/>
          <w:szCs w:val="32"/>
        </w:rPr>
        <w:t>（三）</w:t>
      </w:r>
      <w:r>
        <w:rPr>
          <w:rFonts w:ascii="楷体_GB2312" w:hAnsi="楷体" w:eastAsia="楷体_GB2312" w:cs="楷体"/>
          <w:sz w:val="32"/>
          <w:szCs w:val="32"/>
        </w:rPr>
        <w:t>一级指标的分值</w:t>
      </w:r>
      <w:r>
        <w:rPr>
          <w:rFonts w:hint="eastAsia" w:ascii="楷体_GB2312" w:hAnsi="楷体" w:eastAsia="楷体_GB2312" w:cs="楷体"/>
          <w:sz w:val="32"/>
          <w:szCs w:val="32"/>
        </w:rPr>
        <w:t>计算。</w:t>
      </w:r>
      <w:r>
        <w:rPr>
          <w:rFonts w:hint="eastAsia" w:ascii="仿宋_GB2312" w:hAnsi="仿宋" w:eastAsia="仿宋_GB2312" w:cs="仿宋_GB2312"/>
          <w:sz w:val="32"/>
          <w:szCs w:val="32"/>
        </w:rPr>
        <w:t>某个一级指标的得分通过其下属所有二级指标得分的加权求和而得。例如：A1为发展进步，则其得分计算为：A1=65×(A11+A12+A13)%。</w:t>
      </w:r>
    </w:p>
    <w:p>
      <w:pPr>
        <w:pStyle w:val="7"/>
        <w:spacing w:line="560" w:lineRule="exact"/>
        <w:ind w:firstLine="640" w:firstLineChars="200"/>
        <w:rPr>
          <w:rFonts w:hint="eastAsia" w:ascii="仿宋_GB2312" w:hAnsi="仿宋" w:eastAsia="仿宋_GB2312" w:cs="仿宋_GB2312"/>
          <w:sz w:val="32"/>
          <w:szCs w:val="32"/>
        </w:rPr>
      </w:pPr>
      <w:r>
        <w:rPr>
          <w:rFonts w:hint="eastAsia" w:ascii="楷体_GB2312" w:hAnsi="楷体" w:eastAsia="楷体_GB2312" w:cs="楷体"/>
          <w:sz w:val="32"/>
          <w:szCs w:val="32"/>
        </w:rPr>
        <w:t>（四）</w:t>
      </w:r>
      <w:r>
        <w:rPr>
          <w:rFonts w:ascii="楷体_GB2312" w:hAnsi="楷体" w:eastAsia="楷体_GB2312" w:cs="楷体"/>
          <w:sz w:val="32"/>
          <w:szCs w:val="32"/>
        </w:rPr>
        <w:t>综合得分的分值计算</w:t>
      </w:r>
      <w:r>
        <w:rPr>
          <w:rFonts w:hint="eastAsia" w:ascii="楷体_GB2312" w:hAnsi="楷体" w:eastAsia="楷体_GB2312" w:cs="楷体"/>
          <w:sz w:val="32"/>
          <w:szCs w:val="32"/>
        </w:rPr>
        <w:t>。</w:t>
      </w:r>
      <w:r>
        <w:rPr>
          <w:rFonts w:hint="eastAsia" w:ascii="仿宋_GB2312" w:hAnsi="仿宋" w:eastAsia="仿宋_GB2312" w:cs="仿宋_GB2312"/>
          <w:sz w:val="32"/>
          <w:szCs w:val="32"/>
        </w:rPr>
        <w:t>综合得分为各一级指标的得分之和:A=A1+A2。</w:t>
      </w:r>
    </w:p>
    <w:p>
      <w:pPr>
        <w:pStyle w:val="7"/>
        <w:spacing w:line="560" w:lineRule="exact"/>
        <w:ind w:firstLine="640" w:firstLineChars="200"/>
        <w:rPr>
          <w:rFonts w:ascii="仿宋" w:hAnsi="仿宋" w:eastAsia="仿宋" w:cs="仿宋"/>
          <w:sz w:val="32"/>
          <w:szCs w:val="32"/>
        </w:rPr>
      </w:pPr>
      <w:r>
        <w:rPr>
          <w:rFonts w:hint="eastAsia" w:ascii="黑体" w:hAnsi="黑体" w:eastAsia="黑体" w:cs="黑体"/>
          <w:sz w:val="32"/>
          <w:szCs w:val="32"/>
        </w:rPr>
        <w:t>二、</w:t>
      </w:r>
      <w:r>
        <w:rPr>
          <w:rFonts w:ascii="黑体" w:hAnsi="黑体" w:eastAsia="黑体" w:cs="黑体"/>
          <w:sz w:val="32"/>
          <w:szCs w:val="32"/>
        </w:rPr>
        <w:t>考核评价</w:t>
      </w:r>
      <w:r>
        <w:rPr>
          <w:rFonts w:hint="eastAsia" w:ascii="黑体" w:hAnsi="黑体" w:eastAsia="黑体" w:cs="黑体"/>
          <w:sz w:val="32"/>
          <w:szCs w:val="32"/>
        </w:rPr>
        <w:t>指标说明</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当年规上工业总产值：</w:t>
      </w:r>
      <w:r>
        <w:rPr>
          <w:rFonts w:hint="eastAsia" w:ascii="仿宋_GB2312" w:hAnsi="仿宋" w:eastAsia="仿宋_GB2312" w:cs="仿宋_GB2312"/>
          <w:sz w:val="32"/>
          <w:szCs w:val="32"/>
        </w:rPr>
        <w:t>指工业园区内规上工业企业在报告期内生产的以货币表现的工业最终产品和提供的工业劳务活动的总价值量。工业总产值的统计按照属地化原则进行。</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当年规上工业总产值增速：</w:t>
      </w:r>
      <w:r>
        <w:rPr>
          <w:rFonts w:hint="eastAsia" w:ascii="仿宋_GB2312" w:hAnsi="仿宋" w:eastAsia="仿宋_GB2312" w:cs="仿宋_GB2312"/>
          <w:sz w:val="32"/>
          <w:szCs w:val="32"/>
        </w:rPr>
        <w:t>指当年规上工业总产值较上一年度规上工业总产值的增长速度。</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当年工业固定资产投资：</w:t>
      </w:r>
      <w:r>
        <w:rPr>
          <w:rFonts w:hint="eastAsia" w:ascii="仿宋_GB2312" w:hAnsi="仿宋" w:eastAsia="仿宋_GB2312" w:cs="仿宋_GB2312"/>
          <w:sz w:val="32"/>
          <w:szCs w:val="32"/>
        </w:rPr>
        <w:t>指工业园区当年以货币表现的规模以上建造和购置固定资产活动的工作量总额。</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当年工业固定资产投资增速：</w:t>
      </w:r>
      <w:r>
        <w:rPr>
          <w:rFonts w:hint="eastAsia" w:ascii="仿宋_GB2312" w:hAnsi="仿宋" w:eastAsia="仿宋_GB2312" w:cs="仿宋_GB2312"/>
          <w:sz w:val="32"/>
          <w:szCs w:val="32"/>
        </w:rPr>
        <w:t>指当年工业固定资产投资较上一年度工业固定资产投资的增长速度。</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当年税收总额：</w:t>
      </w:r>
      <w:r>
        <w:rPr>
          <w:rFonts w:hint="eastAsia" w:ascii="仿宋_GB2312" w:hAnsi="仿宋" w:eastAsia="仿宋_GB2312" w:cs="仿宋_GB2312"/>
          <w:sz w:val="32"/>
          <w:szCs w:val="32"/>
        </w:rPr>
        <w:t>指工业园区内工业企业在报告期末上缴的退税前税收总额。</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当年税收总额增速：</w:t>
      </w:r>
      <w:r>
        <w:rPr>
          <w:rFonts w:hint="eastAsia" w:ascii="仿宋_GB2312" w:hAnsi="仿宋" w:eastAsia="仿宋_GB2312" w:cs="仿宋_GB2312"/>
          <w:sz w:val="32"/>
          <w:szCs w:val="32"/>
        </w:rPr>
        <w:t>指当年税收总额较上一年度税收总额的增长速度。</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单位土地面积规上工业增加值：</w:t>
      </w:r>
      <w:r>
        <w:rPr>
          <w:rFonts w:hint="eastAsia" w:ascii="仿宋_GB2312" w:hAnsi="仿宋" w:eastAsia="仿宋_GB2312" w:cs="仿宋_GB2312"/>
          <w:sz w:val="32"/>
          <w:szCs w:val="32"/>
        </w:rPr>
        <w:t>截止报告期末，园区规上工业增加值与园区投产企业土地证所载面积之和的比值。</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单位土地面积税收贡献</w:t>
      </w:r>
      <w:r>
        <w:rPr>
          <w:rFonts w:hint="eastAsia" w:ascii="仿宋_GB2312" w:hAnsi="仿宋" w:eastAsia="仿宋_GB2312" w:cs="仿宋_GB2312"/>
          <w:sz w:val="32"/>
          <w:szCs w:val="32"/>
        </w:rPr>
        <w:t>：截止报告期末，园区内规上工业企业上缴的税收总额与园区投产企业土地证所载面积之和的比值。</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当年单位土地面积累计工业固定资产投资：</w:t>
      </w:r>
      <w:r>
        <w:rPr>
          <w:rFonts w:hint="eastAsia" w:ascii="仿宋_GB2312" w:hAnsi="仿宋" w:eastAsia="仿宋_GB2312" w:cs="仿宋_GB2312"/>
          <w:sz w:val="32"/>
          <w:szCs w:val="32"/>
        </w:rPr>
        <w:t>计算公式为截止上年度末园区累计规上工业固定资产投资额/园区内已投产企业土地证面积与在建工业项目土地证或土地手续所载面积之总和。</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单位工业增加值能耗降低率：</w:t>
      </w:r>
      <w:r>
        <w:rPr>
          <w:rFonts w:hint="eastAsia" w:ascii="仿宋_GB2312" w:hAnsi="仿宋" w:eastAsia="仿宋_GB2312" w:cs="仿宋_GB2312"/>
          <w:sz w:val="32"/>
          <w:szCs w:val="32"/>
        </w:rPr>
        <w:t>截止报告期末，园区内规上企业综合能源消耗量与园区规上工业增加值的比值与上年该比值的下降百分比。</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单位工业增加值水耗降低率：</w:t>
      </w:r>
      <w:r>
        <w:rPr>
          <w:rFonts w:hint="eastAsia" w:ascii="仿宋_GB2312" w:hAnsi="仿宋" w:eastAsia="仿宋_GB2312" w:cs="仿宋_GB2312"/>
          <w:sz w:val="32"/>
          <w:szCs w:val="32"/>
        </w:rPr>
        <w:t>上年度报告期，园区内规上企业取新鲜水总量与园区规上工业增加值的比值与上年该比值的下降百分比。</w:t>
      </w:r>
    </w:p>
    <w:p>
      <w:pPr>
        <w:pStyle w:val="7"/>
        <w:spacing w:line="560" w:lineRule="exact"/>
        <w:ind w:firstLine="640" w:firstLineChars="200"/>
        <w:rPr>
          <w:rFonts w:hint="eastAsia" w:ascii="仿宋_GB2312" w:hAnsi="仿宋" w:eastAsia="仿宋_GB2312" w:cs="仿宋"/>
          <w:bCs/>
          <w:sz w:val="32"/>
          <w:szCs w:val="32"/>
        </w:rPr>
      </w:pPr>
      <w:r>
        <w:rPr>
          <w:rFonts w:hint="eastAsia" w:ascii="仿宋_GB2312" w:hAnsi="仿宋" w:eastAsia="仿宋_GB2312" w:cs="仿宋"/>
          <w:bCs/>
          <w:sz w:val="32"/>
          <w:szCs w:val="32"/>
        </w:rPr>
        <w:t>规上企业研发费用占营业收入比重：</w:t>
      </w:r>
      <w:r>
        <w:rPr>
          <w:rFonts w:hint="eastAsia" w:ascii="仿宋_GB2312" w:hAnsi="仿宋" w:eastAsia="仿宋_GB2312" w:cs="仿宋_GB2312"/>
          <w:sz w:val="32"/>
          <w:szCs w:val="32"/>
        </w:rPr>
        <w:t>计算公式为报告期内园区规模以上企业研发费用/其营业收入</w:t>
      </w:r>
      <w:r>
        <w:rPr>
          <w:rFonts w:hint="eastAsia" w:ascii="仿宋_GB2312" w:hAnsi="仿宋" w:eastAsia="仿宋_GB2312" w:cs="仿宋"/>
          <w:sz w:val="32"/>
          <w:szCs w:val="32"/>
        </w:rPr>
        <w:t>。</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新获批重点实验室、工程技术研究中心、企业研发中心、企业技术中心数量：</w:t>
      </w:r>
      <w:r>
        <w:rPr>
          <w:rFonts w:hint="eastAsia" w:ascii="仿宋_GB2312" w:hAnsi="仿宋" w:eastAsia="仿宋_GB2312" w:cs="仿宋_GB2312"/>
          <w:sz w:val="32"/>
          <w:szCs w:val="32"/>
        </w:rPr>
        <w:t>当年园区内新增加的经审批的自治区级以上重点实验室的数量、工程技术研究中心、企业研发中心、企业技术中心。</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孵化器、众创空间数量：</w:t>
      </w:r>
      <w:r>
        <w:rPr>
          <w:rFonts w:hint="eastAsia" w:ascii="仿宋_GB2312" w:hAnsi="仿宋" w:eastAsia="仿宋_GB2312" w:cs="仿宋_GB2312"/>
          <w:sz w:val="32"/>
          <w:szCs w:val="32"/>
        </w:rPr>
        <w:t>截止报告期末，园区内设立并根据《科技部关于印发〈科技企业孵化器认定和管理办法〉的</w:t>
      </w:r>
      <w:r>
        <w:rPr>
          <w:rFonts w:ascii="仿宋_GB2312" w:hAnsi="仿宋" w:eastAsia="仿宋_GB2312" w:cs="仿宋_GB2312"/>
          <w:sz w:val="32"/>
          <w:szCs w:val="32"/>
        </w:rPr>
        <w:t>通知</w:t>
      </w:r>
      <w:r>
        <w:rPr>
          <w:rFonts w:hint="eastAsia" w:ascii="仿宋_GB2312" w:hAnsi="仿宋" w:eastAsia="仿宋_GB2312" w:cs="仿宋_GB2312"/>
          <w:sz w:val="32"/>
          <w:szCs w:val="32"/>
        </w:rPr>
        <w:t>》（国科发高〔2010〕680号）、《科技部关于印发〈发展众创空间工作指引〉的</w:t>
      </w:r>
      <w:r>
        <w:rPr>
          <w:rFonts w:ascii="仿宋_GB2312" w:hAnsi="仿宋" w:eastAsia="仿宋_GB2312" w:cs="仿宋_GB2312"/>
          <w:sz w:val="32"/>
          <w:szCs w:val="32"/>
        </w:rPr>
        <w:t>通知</w:t>
      </w:r>
      <w:r>
        <w:rPr>
          <w:rFonts w:hint="eastAsia" w:ascii="仿宋_GB2312" w:hAnsi="仿宋" w:eastAsia="仿宋_GB2312" w:cs="仿宋_GB2312"/>
          <w:sz w:val="32"/>
          <w:szCs w:val="32"/>
        </w:rPr>
        <w:t>》（国科发</w:t>
      </w:r>
      <w:r>
        <w:rPr>
          <w:rFonts w:ascii="仿宋_GB2312" w:hAnsi="仿宋" w:eastAsia="仿宋_GB2312" w:cs="仿宋_GB2312"/>
          <w:sz w:val="32"/>
          <w:szCs w:val="32"/>
        </w:rPr>
        <w:t>火</w:t>
      </w:r>
      <w:r>
        <w:rPr>
          <w:rFonts w:hint="eastAsia" w:ascii="仿宋_GB2312" w:hAnsi="仿宋" w:eastAsia="仿宋_GB2312" w:cs="仿宋_GB2312"/>
          <w:sz w:val="32"/>
          <w:szCs w:val="32"/>
        </w:rPr>
        <w:t>〔201</w:t>
      </w:r>
      <w:r>
        <w:rPr>
          <w:rFonts w:ascii="仿宋_GB2312" w:hAnsi="仿宋" w:eastAsia="仿宋_GB2312" w:cs="仿宋_GB2312"/>
          <w:sz w:val="32"/>
          <w:szCs w:val="32"/>
        </w:rPr>
        <w:t>5</w:t>
      </w:r>
      <w:r>
        <w:rPr>
          <w:rFonts w:hint="eastAsia" w:ascii="仿宋_GB2312" w:hAnsi="仿宋" w:eastAsia="仿宋_GB2312" w:cs="仿宋_GB2312"/>
          <w:sz w:val="32"/>
          <w:szCs w:val="32"/>
        </w:rPr>
        <w:t>〕</w:t>
      </w:r>
      <w:r>
        <w:rPr>
          <w:rFonts w:ascii="仿宋_GB2312" w:hAnsi="仿宋" w:eastAsia="仿宋_GB2312" w:cs="仿宋_GB2312"/>
          <w:sz w:val="32"/>
          <w:szCs w:val="32"/>
        </w:rPr>
        <w:t>297</w:t>
      </w:r>
      <w:r>
        <w:rPr>
          <w:rFonts w:hint="eastAsia" w:ascii="仿宋_GB2312" w:hAnsi="仿宋" w:eastAsia="仿宋_GB2312" w:cs="仿宋_GB2312"/>
          <w:sz w:val="32"/>
          <w:szCs w:val="32"/>
        </w:rPr>
        <w:t>号）文件要求，经相关部门备案的孵化器、众创空间合计数量。</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年度发明专利授权量：</w:t>
      </w:r>
      <w:r>
        <w:rPr>
          <w:rFonts w:hint="eastAsia" w:ascii="仿宋_GB2312" w:hAnsi="仿宋" w:eastAsia="仿宋_GB2312" w:cs="仿宋_GB2312"/>
          <w:sz w:val="32"/>
          <w:szCs w:val="32"/>
        </w:rPr>
        <w:t>当年园区内新增加的经专利审批部门授权的发明专利数量。</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高新技术企业产值占园区工业总产值比重：</w:t>
      </w:r>
      <w:r>
        <w:rPr>
          <w:rFonts w:hint="eastAsia" w:ascii="仿宋_GB2312" w:hAnsi="仿宋" w:eastAsia="仿宋_GB2312" w:cs="仿宋_GB2312"/>
          <w:sz w:val="32"/>
          <w:szCs w:val="32"/>
        </w:rPr>
        <w:t>截止报告期末，园区内设立的符合国务院《高新技术企业认定管理办法》的规上高新技术企业总产值占园区规上工业总产值比重。</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sz w:val="32"/>
          <w:szCs w:val="32"/>
        </w:rPr>
        <w:t>新获批自治区级以上高新技术企业、科技型中小企业、专精特新企业数量</w:t>
      </w:r>
      <w:r>
        <w:rPr>
          <w:rFonts w:hint="eastAsia" w:ascii="仿宋_GB2312" w:hAnsi="仿宋" w:eastAsia="仿宋_GB2312" w:cs="仿宋_GB2312"/>
          <w:sz w:val="32"/>
          <w:szCs w:val="32"/>
        </w:rPr>
        <w:t>：当年园区内新增加的经审批的自治区级以上高新技术企业、科技型中小企业、专精特新企业。</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新入园开工项目数（含新入驻标准化厂房项目）：</w:t>
      </w:r>
      <w:r>
        <w:rPr>
          <w:rFonts w:hint="eastAsia" w:ascii="仿宋_GB2312" w:hAnsi="仿宋" w:eastAsia="仿宋_GB2312" w:cs="仿宋_GB2312"/>
          <w:sz w:val="32"/>
          <w:szCs w:val="32"/>
        </w:rPr>
        <w:t>截止报告期末，园区内当年新增加项目中已开工的项目数。</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
          <w:bCs/>
          <w:sz w:val="32"/>
          <w:szCs w:val="32"/>
        </w:rPr>
        <w:t>新入园开工项目完成投资额（含新入驻标准化厂房项目的设备投资额）：</w:t>
      </w:r>
      <w:r>
        <w:rPr>
          <w:rFonts w:hint="eastAsia" w:ascii="仿宋_GB2312" w:hAnsi="仿宋" w:eastAsia="仿宋_GB2312" w:cs="仿宋_GB2312"/>
          <w:sz w:val="32"/>
          <w:szCs w:val="32"/>
        </w:rPr>
        <w:t>截止报告期末，园区内新增加项目中当年新开工的项目、续建的项目当年投入的投资金额。</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sz w:val="32"/>
          <w:szCs w:val="32"/>
        </w:rPr>
        <w:t>年底园区路网密度</w:t>
      </w:r>
      <w:r>
        <w:rPr>
          <w:rFonts w:hint="eastAsia" w:ascii="仿宋_GB2312" w:hAnsi="仿宋" w:eastAsia="仿宋_GB2312" w:cs="仿宋_GB2312"/>
          <w:sz w:val="32"/>
          <w:szCs w:val="32"/>
        </w:rPr>
        <w:t>：截止报告期末，园区建成区内单位面积的路网长度。</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sz w:val="32"/>
          <w:szCs w:val="32"/>
        </w:rPr>
        <w:t>新增基础设施建设投资完成总额：</w:t>
      </w:r>
      <w:r>
        <w:rPr>
          <w:rFonts w:hint="eastAsia" w:ascii="仿宋_GB2312" w:hAnsi="仿宋" w:eastAsia="仿宋_GB2312" w:cs="仿宋_GB2312"/>
          <w:sz w:val="32"/>
          <w:szCs w:val="32"/>
        </w:rPr>
        <w:t>截止报告期末，当年新增基础设施建设完成的投资额度，包含当年新开的和续建的基础设施项目当年的完成投资额。</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sz w:val="32"/>
          <w:szCs w:val="32"/>
        </w:rPr>
        <w:t>公用固废渣场、污水处理厂，集中供热保障度</w:t>
      </w:r>
      <w:r>
        <w:rPr>
          <w:rFonts w:hint="eastAsia" w:ascii="仿宋_GB2312" w:hAnsi="仿宋" w:eastAsia="仿宋_GB2312" w:cs="仿宋_GB2312"/>
          <w:sz w:val="32"/>
          <w:szCs w:val="32"/>
        </w:rPr>
        <w:t>：截止报告期末，园区公用固废渣场、污水处理厂、集中供热保障程度。</w:t>
      </w:r>
    </w:p>
    <w:p>
      <w:pPr>
        <w:pStyle w:val="7"/>
        <w:spacing w:line="56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bCs/>
          <w:sz w:val="32"/>
          <w:szCs w:val="32"/>
        </w:rPr>
        <w:t>环境治理水平：</w:t>
      </w:r>
      <w:r>
        <w:rPr>
          <w:rFonts w:hint="eastAsia" w:ascii="仿宋_GB2312" w:hAnsi="仿宋" w:eastAsia="仿宋_GB2312" w:cs="仿宋_GB2312"/>
          <w:sz w:val="32"/>
          <w:szCs w:val="32"/>
        </w:rPr>
        <w:t>主要从污染防治任务落实情况、环保督察整改任务完成情况、环境违法行为查处情况三方面考核。</w:t>
      </w:r>
    </w:p>
    <w:p>
      <w:pPr>
        <w:spacing w:line="560" w:lineRule="exact"/>
        <w:rPr>
          <w:rFonts w:hint="eastAsia" w:ascii="仿宋_GB2312" w:hAnsi="仿宋" w:eastAsia="仿宋_GB2312"/>
        </w:rPr>
      </w:pPr>
    </w:p>
    <w:p>
      <w:pPr>
        <w:ind w:firstLine="640" w:firstLineChars="200"/>
        <w:rPr>
          <w:rFonts w:hint="eastAsia" w:eastAsia="仿宋_GB2312"/>
          <w:sz w:val="32"/>
        </w:rPr>
      </w:pPr>
    </w:p>
    <w:p>
      <w:pPr>
        <w:adjustRightInd w:val="0"/>
        <w:snapToGrid w:val="0"/>
        <w:spacing w:line="580" w:lineRule="exact"/>
        <w:ind w:firstLine="640" w:firstLineChars="200"/>
        <w:rPr>
          <w:rFonts w:hint="eastAsia" w:ascii="仿宋_GB2312" w:eastAsia="仿宋_GB2312"/>
          <w:sz w:val="32"/>
        </w:rPr>
      </w:pPr>
    </w:p>
    <w:p>
      <w:pPr>
        <w:adjustRightInd w:val="0"/>
        <w:snapToGrid w:val="0"/>
        <w:spacing w:line="580" w:lineRule="exact"/>
        <w:ind w:firstLine="640" w:firstLineChars="200"/>
        <w:rPr>
          <w:rFonts w:hint="eastAsia" w:ascii="仿宋_GB2312"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eastAsia="仿宋_GB2312"/>
          <w:sz w:val="32"/>
        </w:rPr>
      </w:pPr>
    </w:p>
    <w:p>
      <w:pPr>
        <w:ind w:firstLine="600"/>
        <w:rPr>
          <w:rFonts w:hint="eastAsia" w:eastAsia="仿宋_GB2312"/>
          <w:sz w:val="32"/>
        </w:rPr>
      </w:pPr>
    </w:p>
    <w:p>
      <w:pPr>
        <w:rPr>
          <w:u w:val="single"/>
          <w:lang w:bidi="ar"/>
        </w:rPr>
      </w:pPr>
    </w:p>
    <w:p>
      <w:pPr>
        <w:ind w:firstLine="315" w:firstLineChars="150"/>
        <w:rPr>
          <w:rFonts w:hint="eastAsia"/>
          <w:lang w:bidi="ar"/>
        </w:rPr>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13335</wp:posOffset>
                </wp:positionV>
                <wp:extent cx="5657850" cy="635"/>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05pt;height:0.05pt;width:445.5pt;z-index:251660288;mso-width-relative:page;mso-height-relative:page;" filled="f" stroked="t" coordsize="21600,21600" o:gfxdata="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EIHYS0wAAAAUBAAAPAAAAAAAAAAEAIAAAACIAAABkcnMvZG93bnJldi54bWxQ&#10;SwECFAAUAAAACACHTuJAh6PaP/wBAADOAwAADgAAAAAAAAABACAAAAAiAQAAZHJzL2Uyb0RvYy54&#10;bWxQSwUGAAAAAAYABgBZAQAAkAUAAAAA&#10;">
                <v:path arrowok="t"/>
                <v:fill on="f" focussize="0,0"/>
                <v:stroke/>
                <v:imagedata o:title=""/>
                <o:lock v:ext="edit" grouping="f" rotation="f"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384810</wp:posOffset>
                </wp:positionV>
                <wp:extent cx="5657850" cy="635"/>
                <wp:effectExtent l="0" t="0" r="0" b="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30.3pt;height:0.05pt;width:445.5pt;z-index:251659264;mso-width-relative:page;mso-height-relative:page;" filled="f" stroked="t" coordsize="21600,21600" o:gfxdata="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TL9HNUAAAAHAQAADwAAAAAAAAABACAAAAAiAAAAZHJzL2Rvd25yZXYueG1s&#10;UEsBAhQAFAAAAAgAh07iQEVNC8n7AQAAzgMAAA4AAAAAAAAAAQAgAAAAJAEAAGRycy9lMm9Eb2Mu&#10;eG1sUEsFBgAAAAAGAAYAWQEAAJEFAAAAAA==&#10;">
                <v:path arrowok="t"/>
                <v:fill on="f" focussize="0,0"/>
                <v:stroke/>
                <v:imagedata o:title=""/>
                <o:lock v:ext="edit" grouping="f" rotation="f" aspectratio="f"/>
              </v:shape>
            </w:pict>
          </mc:Fallback>
        </mc:AlternateContent>
      </w:r>
      <w:r>
        <w:rPr>
          <w:rFonts w:hint="eastAsia" w:ascii="仿宋_GB2312" w:eastAsia="仿宋_GB2312"/>
          <w:sz w:val="28"/>
          <w:szCs w:val="28"/>
          <w:lang w:bidi="ar"/>
        </w:rPr>
        <w:t xml:space="preserve">赤峰市人民政府办公室秘书二科          </w:t>
      </w:r>
      <w:r>
        <w:rPr>
          <w:rFonts w:ascii="仿宋_GB2312" w:eastAsia="仿宋_GB2312"/>
          <w:sz w:val="28"/>
          <w:szCs w:val="28"/>
          <w:lang w:bidi="ar"/>
        </w:rPr>
        <w:t xml:space="preserve">  </w:t>
      </w:r>
      <w:bookmarkStart w:id="2" w:name="来文成文日期"/>
      <w:bookmarkEnd w:id="2"/>
      <w:r>
        <w:rPr>
          <w:rFonts w:ascii="仿宋_GB2312" w:eastAsia="仿宋_GB2312"/>
          <w:sz w:val="28"/>
          <w:szCs w:val="28"/>
          <w:lang w:bidi="ar"/>
        </w:rPr>
        <w:t>2023</w:t>
      </w:r>
      <w:r>
        <w:rPr>
          <w:rFonts w:hint="eastAsia" w:ascii="仿宋_GB2312" w:eastAsia="仿宋_GB2312"/>
          <w:sz w:val="28"/>
          <w:szCs w:val="28"/>
          <w:lang w:bidi="ar"/>
        </w:rPr>
        <w:t>年1月11日印发</w:t>
      </w:r>
    </w:p>
    <w:p/>
    <w:sectPr>
      <w:headerReference r:id="rId5" w:type="default"/>
      <w:footerReference r:id="rId7" w:type="default"/>
      <w:headerReference r:id="rId6" w:type="even"/>
      <w:footerReference r:id="rId8" w:type="even"/>
      <w:pgSz w:w="11906" w:h="16838"/>
      <w:pgMar w:top="2041" w:right="1474" w:bottom="1871" w:left="1531" w:header="851" w:footer="992" w:gutter="0"/>
      <w:pgNumType w:fmt="numberInDash" w:start="1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15 -</w:t>
    </w:r>
    <w:r>
      <w:rPr>
        <w:rFonts w:ascii="宋体" w:hAnsi="宋体"/>
        <w:sz w:val="28"/>
        <w:szCs w:val="28"/>
      </w:rPr>
      <w:fldChar w:fldCharType="end"/>
    </w:r>
  </w:p>
  <w:p>
    <w:pPr>
      <w:pStyle w:val="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16 -</w:t>
    </w:r>
    <w:r>
      <w:rPr>
        <w:rFonts w:ascii="宋体" w:hAnsi="宋体"/>
        <w:sz w:val="28"/>
        <w:szCs w:val="28"/>
      </w:rPr>
      <w:fldChar w:fldCharType="end"/>
    </w:r>
  </w:p>
  <w:p>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6B543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640" w:firstLineChars="200"/>
    </w:pPr>
    <w:rPr>
      <w:rFonts w:ascii="Times New Roman" w:hAnsi="Times New Roman" w:eastAsia="仿宋_GB2312"/>
      <w:sz w:val="32"/>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水电正文"/>
    <w:basedOn w:val="1"/>
    <w:qFormat/>
    <w:uiPriority w:val="0"/>
    <w:pPr>
      <w:adjustRightInd w:val="0"/>
      <w:snapToGrid w:val="0"/>
    </w:pPr>
    <w:rPr>
      <w:rFonts w:hAnsi="宋体" w:cs="宋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2023-02-02T02:26:41Z</dcterms:created>
  <dc:creator>admin</dc:creator>
  <cp:lastModifiedBy>admin</cp:lastModifiedBy>
  <dcterms:modified xsi:type="dcterms:W3CDTF">2023-02-02T02:27:09Z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E849525144BE43149A592890DDAC649E</vt:lpwstr>
  </property>
</Properties>
</file>