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5</w:t>
      </w:r>
    </w:p>
    <w:p>
      <w:pPr>
        <w:spacing w:line="480" w:lineRule="exact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常见突发环境事件应急处置措施简表</w:t>
      </w:r>
    </w:p>
    <w:p/>
    <w:tbl>
      <w:tblPr>
        <w:tblStyle w:val="4"/>
        <w:tblW w:w="13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8659"/>
        <w:gridCol w:w="2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725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 w:cs="CESI仿宋-GB2312"/>
                <w:sz w:val="24"/>
                <w:szCs w:val="24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风险类型</w:t>
            </w:r>
          </w:p>
        </w:tc>
        <w:tc>
          <w:tcPr>
            <w:tcW w:w="865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 w:cs="CESI仿宋-GB2312"/>
                <w:sz w:val="24"/>
                <w:szCs w:val="24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处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置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措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施</w:t>
            </w:r>
          </w:p>
        </w:tc>
        <w:tc>
          <w:tcPr>
            <w:tcW w:w="272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 w:cs="CESI仿宋-GB2312"/>
                <w:sz w:val="24"/>
                <w:szCs w:val="24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9" w:hRule="atLeast"/>
          <w:jc w:val="center"/>
        </w:trPr>
        <w:tc>
          <w:tcPr>
            <w:tcW w:w="1725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涉危涉重企业</w:t>
            </w:r>
          </w:p>
        </w:tc>
        <w:tc>
          <w:tcPr>
            <w:tcW w:w="8659" w:type="dxa"/>
            <w:shd w:val="clear" w:color="auto" w:fill="auto"/>
            <w:noWrap w:val="0"/>
            <w:vAlign w:val="top"/>
          </w:tcPr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1.发生突发环境事件后，有关部门组织调度或派工作组赶赴现场指导应急处整工作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。</w:t>
            </w:r>
          </w:p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2.通过采取警示、疏散、隐蔽、防护、应急供应等救援方式，保护受到影响或可能受到影响的人群，将污染危害降至最低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。</w:t>
            </w:r>
          </w:p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3.查明污染原因，采取封堵、拦截、收集直至停产等措施、阻断或削减污染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物非正常排放，防止事态进一步恶化。</w:t>
            </w:r>
          </w:p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4.开展应急监测，确定污染范围和发展态势，在扩散途径上采取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“</w:t>
            </w: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围、追、堵、截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”</w:t>
            </w: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等方式，防止污染物进一步扩散；通过物理、化学、生物等一种或多种方式，将污染处置至符合环境标准，或恢复至背景值以内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。</w:t>
            </w:r>
          </w:p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5.及时向公众发布事件信息。</w:t>
            </w:r>
          </w:p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突发环境事件威胁或危害得到控制或者消除后，事发地生态环境部门根据本级人民政府统一部署，停止环境应急处置措施。应急目标达成后，前方工作组视情返回，由当地人民政府继续组织实施后续工作。前方工作组返回后，持续跟踪关注事件进展，指导当地做好善后工作。应急工作终止后，必要时继续进行一定频次的环境监测，并及时向有关方面通报情况。</w:t>
            </w:r>
          </w:p>
        </w:tc>
        <w:tc>
          <w:tcPr>
            <w:tcW w:w="2728" w:type="dxa"/>
            <w:shd w:val="clear" w:color="auto" w:fill="auto"/>
            <w:noWrap w:val="0"/>
            <w:vAlign w:val="center"/>
          </w:tcPr>
          <w:p>
            <w:pPr>
              <w:spacing w:line="36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启动预案、迅速控制、妥善处置、及时报告，落实主体责任。</w:t>
            </w:r>
          </w:p>
        </w:tc>
      </w:tr>
    </w:tbl>
    <w:p>
      <w:pPr>
        <w:spacing w:line="560" w:lineRule="exact"/>
        <w:rPr>
          <w:rFonts w:ascii="仿宋" w:hAnsi="仿宋" w:eastAsia="仿宋"/>
          <w:sz w:val="32"/>
          <w:szCs w:val="32"/>
        </w:rPr>
        <w:sectPr>
          <w:pgSz w:w="16838" w:h="11906" w:orient="landscape"/>
          <w:pgMar w:top="1531" w:right="2041" w:bottom="1531" w:left="2041" w:header="851" w:footer="992" w:gutter="0"/>
          <w:pgNumType w:fmt="numberInDash"/>
          <w:cols w:space="0" w:num="1"/>
          <w:docGrid w:type="linesAndChars" w:linePitch="312" w:charSpace="0"/>
        </w:sectPr>
      </w:pPr>
    </w:p>
    <w:tbl>
      <w:tblPr>
        <w:tblStyle w:val="4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8673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70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风险类型</w:t>
            </w:r>
          </w:p>
        </w:tc>
        <w:tc>
          <w:tcPr>
            <w:tcW w:w="867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处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置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措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施</w:t>
            </w:r>
          </w:p>
        </w:tc>
        <w:tc>
          <w:tcPr>
            <w:tcW w:w="263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65" w:hRule="atLeast"/>
        </w:trPr>
        <w:tc>
          <w:tcPr>
            <w:tcW w:w="1702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化工园区</w:t>
            </w:r>
          </w:p>
        </w:tc>
        <w:tc>
          <w:tcPr>
            <w:tcW w:w="8673" w:type="dxa"/>
            <w:shd w:val="clear" w:color="auto" w:fill="auto"/>
            <w:noWrap w:val="0"/>
            <w:vAlign w:val="top"/>
          </w:tcPr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发生突发环境事件后，有关部门组织调度或派工作组赶赴现场指导应急处置工作。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1.对于涉水事件，做好有毒有害物质和消防废水、废液等收集、清理和安全处置。根据污水成分、浓度不同，采用分质分类处理方式。研判园区污水厂是否具备相应处理能力，如果能处理，则抽至园区污水厂处理；如不能处理、需研究改造废水处理</w:t>
            </w: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/预处理工艺，使其处理后达标排放，或预处理后排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入园区污水厂处理后达标排放。污水应急处理工艺主要包括酸碱中和、臭氧氧化、芬顿氧化、活性炭好氧强曝气、活性炭吸附等。处理工艺实施地点，可利用园区污水处理厂或周边企业污水处理站设施进行改造。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2.对于涉气事件，事故单位专业技术人员与消防人员密切配合，采用关闭阀门、修补容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器、管道等方法，阻止毒气从管道、容器、设备裂缝处继续外泄。对已泄漏毒气，必须及时洗消，可利用喷洒洗消液、抛</w:t>
            </w:r>
            <w:r>
              <w:rPr>
                <w:rFonts w:hint="eastAsia" w:ascii="Times New Roman" w:hAnsi="仿宋_GB2312" w:eastAsia="仿宋_GB2312" w:cs="仿宋_GB2312"/>
                <w:sz w:val="24"/>
                <w:szCs w:val="24"/>
              </w:rPr>
              <w:t>洒粉状消毒剂等方式消除毒气污染。</w:t>
            </w:r>
          </w:p>
        </w:tc>
        <w:tc>
          <w:tcPr>
            <w:tcW w:w="2631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启动预案、迅速控制、妥善处置、及时报告，科学应对可能发生的突发环境污染事故。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根据实际事故规模研判，及时设定、调整应急目标。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2" w:hRule="atLeast"/>
        </w:trPr>
        <w:tc>
          <w:tcPr>
            <w:tcW w:w="1702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饮用水水源地</w:t>
            </w:r>
          </w:p>
        </w:tc>
        <w:tc>
          <w:tcPr>
            <w:tcW w:w="8673" w:type="dxa"/>
            <w:shd w:val="clear" w:color="auto" w:fill="auto"/>
            <w:noWrap w:val="0"/>
            <w:vAlign w:val="top"/>
          </w:tcPr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发生威胁饮用水源安全的突发环境事件，取水点设在流域支流当中的，可在饮用水水源地上下游一定范围建设截污坝；取水点设在流域干流当中的，可在饮用水水源地上游建设截污坝，同时在截污坝上游未受污染水体设置导流渠，使水源地避开污染水体，或可在水源地上游设置截污坝的基础上采取调水措施；饮用水水源地设在湖库当中的，可在湖库中一定范围采取过滤隔离措施、保障取水安全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供水保障是通过水厂应急改造、启用备用水源等措施，最大程度减少突发事件对供水安全造成的影响，其中，水厂应急改造核心为确定水厂应急工艺（水厂应急工艺与河道工程削污工艺相同）。选择标准包括：处理效果显著，不引入二次污染，出水水质满足饮用水水质标准；能与现有水厂常规处理工艺相结合，便于建设，快速实施，易于操作；费用成本适宜，技术经济合理。在实施自来水厂处理工艺应急改造过程中，应特别注意各投药点位置及</w:t>
            </w: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 xml:space="preserve"> pH 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值调节与控制。</w:t>
            </w:r>
          </w:p>
        </w:tc>
        <w:tc>
          <w:tcPr>
            <w:tcW w:w="2631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迅速控制、妥善处置、及时报告，科学应对污染事故，保障公众身体健康和生命财产安全。</w:t>
            </w:r>
          </w:p>
          <w:p>
            <w:pPr>
              <w:spacing w:line="30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落实“南阳实践”（突发水污染事件“一</w:t>
            </w: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河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一策一图”环境应急响应方案），建立健全环境应急响应机制，提高饮用水水源地突发事件防范和处置能力。</w:t>
            </w:r>
          </w:p>
          <w:p>
            <w:pPr>
              <w:spacing w:line="300" w:lineRule="exact"/>
              <w:jc w:val="center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</w:p>
        </w:tc>
      </w:tr>
    </w:tbl>
    <w:p>
      <w:pPr>
        <w:rPr>
          <w:vanish/>
        </w:rPr>
      </w:pPr>
    </w:p>
    <w:tbl>
      <w:tblPr>
        <w:tblStyle w:val="4"/>
        <w:tblpPr w:leftFromText="180" w:rightFromText="180" w:vertAnchor="text" w:horzAnchor="page" w:tblpX="2065" w:tblpY="684"/>
        <w:tblOverlap w:val="never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64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66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风险类型</w:t>
            </w:r>
          </w:p>
        </w:tc>
        <w:tc>
          <w:tcPr>
            <w:tcW w:w="8646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处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置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措</w:t>
            </w:r>
            <w:r>
              <w:rPr>
                <w:rFonts w:ascii="黑体" w:hAnsi="黑体" w:eastAsia="黑体" w:cs="CESI仿宋-GB2312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施</w:t>
            </w:r>
          </w:p>
        </w:tc>
        <w:tc>
          <w:tcPr>
            <w:tcW w:w="255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CESI仿宋-GB2312"/>
                <w:sz w:val="24"/>
                <w:szCs w:val="24"/>
              </w:rPr>
              <w:t>工作目标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0" w:hRule="atLeast"/>
        </w:trPr>
        <w:tc>
          <w:tcPr>
            <w:tcW w:w="1668" w:type="dxa"/>
            <w:shd w:val="clear" w:color="auto" w:fill="auto"/>
            <w:noWrap w:val="0"/>
            <w:vAlign w:val="center"/>
          </w:tcPr>
          <w:p>
            <w:pPr>
              <w:spacing w:line="320" w:lineRule="exact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“两场一库”（危废暂存场、垃圾填埋场、尾矿库）</w:t>
            </w:r>
          </w:p>
        </w:tc>
        <w:tc>
          <w:tcPr>
            <w:tcW w:w="8646" w:type="dxa"/>
            <w:shd w:val="clear" w:color="auto" w:fill="auto"/>
            <w:noWrap w:val="0"/>
            <w:vAlign w:val="top"/>
          </w:tcPr>
          <w:p>
            <w:pPr>
              <w:spacing w:line="32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1.危废暂存场。实施24小时警戒值守，防止危险废物通过雨水管道流出厂界或进入河道内。处置外环境固废及废液，对受污染目标区域、设备设施等进行清洁，清理洒落在水沟中的固体废物，使用活性炭或吸水材料进行污水吸附收集。如危险废物随雨水或消防废水扩散到厂界外，立即告知附近单位和群众，不要接触和饮用受污染水源等。</w:t>
            </w:r>
          </w:p>
          <w:p>
            <w:pPr>
              <w:spacing w:line="32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 xml:space="preserve">2.垃圾填埋场。垃圾填埋场防渗层破损后，迅速抽吸受污地下水，同时通过开孔灌注粘合剂等办法进行裂缝密封，或以硅碳溶液修补防渗层破损部位。若监测井发现地下水污染，在截污坝外侧设置垂直渗滤墙，隔断受污染地下水向外漫渗；若渗滤液下渗对周边水源产生影响，应及时告知影响区域人群，并供应安全饮用水或进行疏散转移。密切关注调节池液面高度，当超过安全液面线时，使用潜水泵抽吸池体渗滤液，运送安全填埋区或回流垃圾堆体。    </w:t>
            </w:r>
          </w:p>
          <w:p>
            <w:pPr>
              <w:spacing w:line="32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ascii="Times New Roman" w:hAnsi="CESI仿宋-GB2312" w:eastAsia="仿宋_GB2312" w:cs="CESI仿宋-GB2312"/>
                <w:sz w:val="24"/>
                <w:szCs w:val="24"/>
              </w:rPr>
              <w:t>3.尾矿库。发生尾矿库泄漏事故后，启动应急排污泵、生产废水系统防控措施等，及时转移、处理事故排水；采取围堵措施，防止污染物进入外环境、减少影响区域和范围。溃坝事故发生后，通知下游区域居民及时撤离、并在下游设置围堰或拦挡坝，围堵泄漏渗滤液及含矿泥污。针对泄漏尾矿废水，采用架设波纹管、河流改道等导流方式，引导到污染影响范围小的区域</w:t>
            </w: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，并迅速控制污染源扩散。</w:t>
            </w:r>
          </w:p>
          <w:p>
            <w:pPr>
              <w:spacing w:line="320" w:lineRule="exact"/>
              <w:ind w:firstLine="480" w:firstLineChars="200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混凝沉淀技术是尾矿库重金属泄漏污染物应急处置通用方法，即通过投加混凝剂使废水中重金属污染物沉淀，达到消除污染目的。对薄弱部位和重要部位，必须实施连续监视。</w:t>
            </w:r>
          </w:p>
        </w:tc>
        <w:tc>
          <w:tcPr>
            <w:tcW w:w="2552" w:type="dxa"/>
            <w:shd w:val="clear" w:color="auto" w:fill="auto"/>
            <w:noWrap w:val="0"/>
            <w:vAlign w:val="center"/>
          </w:tcPr>
          <w:p>
            <w:pPr>
              <w:spacing w:line="320" w:lineRule="exact"/>
              <w:ind w:firstLine="480" w:firstLineChars="200"/>
              <w:jc w:val="left"/>
              <w:rPr>
                <w:rFonts w:ascii="Times New Roman" w:hAnsi="CESI仿宋-GB2312" w:eastAsia="仿宋_GB2312" w:cs="CESI仿宋-GB2312"/>
                <w:sz w:val="24"/>
                <w:szCs w:val="24"/>
              </w:rPr>
            </w:pPr>
            <w:r>
              <w:rPr>
                <w:rFonts w:hint="eastAsia" w:ascii="Times New Roman" w:hAnsi="CESI仿宋-GB2312" w:eastAsia="仿宋_GB2312" w:cs="CESI仿宋-GB2312"/>
                <w:sz w:val="24"/>
                <w:szCs w:val="24"/>
              </w:rPr>
              <w:t>将风险物质尽可能控制在一定区域内，及时采取相应消解措施，避免造成二次污染。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rPr>
          <w:rFonts w:ascii="黑体" w:hAnsi="黑体" w:eastAsia="黑体"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531" w:right="2041" w:bottom="1474" w:left="1871" w:header="851" w:footer="992" w:gutter="0"/>
          <w:pgNumType w:fmt="numberInDash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35 -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892" w:y="-23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- 36 -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63A2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2023-05-15T06:52:09Z</dcterms:created>
  <dc:creator>admin</dc:creator>
  <cp:lastModifiedBy>admin</cp:lastModifiedBy>
  <dcterms:modified xsi:type="dcterms:W3CDTF">2023-05-15T06:52:57Z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68B09EF3E39A4EE8A9302D467BAE43AD_12</vt:lpwstr>
  </property>
</Properties>
</file>