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C7F9C">
      <w:pPr>
        <w:adjustRightInd w:val="0"/>
        <w:snapToGrid w:val="0"/>
        <w:spacing w:line="520" w:lineRule="exact"/>
        <w:rPr>
          <w:rFonts w:hint="eastAsia"/>
          <w:sz w:val="44"/>
        </w:rPr>
      </w:pPr>
      <w:bookmarkStart w:id="0" w:name="二维条码"/>
      <w:bookmarkEnd w:id="0"/>
    </w:p>
    <w:p w14:paraId="7EE307B8">
      <w:pPr>
        <w:adjustRightInd w:val="0"/>
        <w:snapToGrid w:val="0"/>
        <w:spacing w:line="520" w:lineRule="exact"/>
        <w:rPr>
          <w:rFonts w:hint="eastAsia"/>
          <w:sz w:val="44"/>
        </w:rPr>
      </w:pPr>
    </w:p>
    <w:p w14:paraId="33C5B12B">
      <w:pPr>
        <w:adjustRightInd w:val="0"/>
        <w:snapToGrid w:val="0"/>
        <w:spacing w:line="520" w:lineRule="exact"/>
        <w:rPr>
          <w:rFonts w:hint="eastAsia"/>
          <w:sz w:val="44"/>
        </w:rPr>
      </w:pPr>
      <w:bookmarkStart w:id="1" w:name="缓急"/>
      <w:bookmarkEnd w:id="1"/>
      <w:r>
        <w:rPr>
          <w:sz w:val="44"/>
        </w:rPr>
        <w:t xml:space="preserve"> </w:t>
      </w:r>
    </w:p>
    <w:p w14:paraId="52A365F5">
      <w:pPr>
        <w:adjustRightInd w:val="0"/>
        <w:snapToGrid w:val="0"/>
        <w:spacing w:line="520" w:lineRule="exact"/>
        <w:rPr>
          <w:rFonts w:hint="eastAsia" w:ascii="黑体" w:eastAsia="黑体"/>
          <w:sz w:val="32"/>
          <w:szCs w:val="32"/>
        </w:rPr>
      </w:pPr>
      <w:r>
        <w:drawing>
          <wp:anchor distT="0" distB="0" distL="114300" distR="114300" simplePos="0" relativeHeight="251660288" behindDoc="1" locked="0" layoutInCell="1" allowOverlap="1">
            <wp:simplePos x="0" y="0"/>
            <wp:positionH relativeFrom="column">
              <wp:posOffset>57785</wp:posOffset>
            </wp:positionH>
            <wp:positionV relativeFrom="paragraph">
              <wp:posOffset>257810</wp:posOffset>
            </wp:positionV>
            <wp:extent cx="5648325" cy="2476500"/>
            <wp:effectExtent l="0" t="0" r="9525" b="0"/>
            <wp:wrapNone/>
            <wp:docPr id="1"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政府办发"/>
                    <pic:cNvPicPr>
                      <a:picLocks noChangeAspect="1"/>
                    </pic:cNvPicPr>
                  </pic:nvPicPr>
                  <pic:blipFill>
                    <a:blip r:embed="rId8"/>
                    <a:stretch>
                      <a:fillRect/>
                    </a:stretch>
                  </pic:blipFill>
                  <pic:spPr>
                    <a:xfrm>
                      <a:off x="0" y="0"/>
                      <a:ext cx="5648325" cy="2476500"/>
                    </a:xfrm>
                    <a:prstGeom prst="rect">
                      <a:avLst/>
                    </a:prstGeom>
                    <a:noFill/>
                    <a:ln>
                      <a:noFill/>
                    </a:ln>
                  </pic:spPr>
                </pic:pic>
              </a:graphicData>
            </a:graphic>
          </wp:anchor>
        </w:drawing>
      </w:r>
    </w:p>
    <w:p w14:paraId="077430A7">
      <w:pPr>
        <w:adjustRightInd w:val="0"/>
        <w:snapToGrid w:val="0"/>
        <w:spacing w:line="520" w:lineRule="exact"/>
        <w:rPr>
          <w:rFonts w:hint="eastAsia"/>
        </w:rPr>
      </w:pPr>
    </w:p>
    <w:p w14:paraId="1A35A1B2">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p>
    <w:p w14:paraId="0CBC0F50">
      <w:pPr>
        <w:adjustRightInd w:val="0"/>
        <w:snapToGrid w:val="0"/>
        <w:spacing w:line="360" w:lineRule="auto"/>
        <w:jc w:val="center"/>
        <w:rPr>
          <w:rFonts w:hint="eastAsia" w:ascii="宋体" w:hAnsi="宋体"/>
          <w:b/>
          <w:color w:val="FF0000"/>
          <w:spacing w:val="-20"/>
          <w:w w:val="50"/>
          <w:sz w:val="32"/>
          <w:szCs w:val="32"/>
        </w:rPr>
      </w:pPr>
    </w:p>
    <w:p w14:paraId="3E65181B">
      <w:pPr>
        <w:adjustRightInd w:val="0"/>
        <w:snapToGrid w:val="0"/>
        <w:spacing w:line="480" w:lineRule="exact"/>
        <w:ind w:firstLine="160" w:firstLineChars="50"/>
        <w:rPr>
          <w:rFonts w:ascii="仿宋_GB2312" w:hAnsi="华文仿宋" w:eastAsia="仿宋_GB2312"/>
          <w:sz w:val="32"/>
        </w:rPr>
      </w:pPr>
    </w:p>
    <w:p w14:paraId="70E3EAA9">
      <w:pPr>
        <w:adjustRightInd w:val="0"/>
        <w:snapToGrid w:val="0"/>
        <w:spacing w:line="480" w:lineRule="exact"/>
        <w:ind w:firstLine="160" w:firstLineChars="50"/>
        <w:rPr>
          <w:rFonts w:ascii="仿宋_GB2312" w:hAnsi="华文仿宋" w:eastAsia="仿宋_GB2312"/>
          <w:sz w:val="32"/>
        </w:rPr>
      </w:pPr>
    </w:p>
    <w:p w14:paraId="5D85F934">
      <w:pPr>
        <w:adjustRightInd w:val="0"/>
        <w:snapToGrid w:val="0"/>
        <w:spacing w:line="480" w:lineRule="exact"/>
        <w:ind w:firstLine="105" w:firstLineChars="50"/>
        <w:rPr>
          <w:rFonts w:ascii="仿宋_GB2312" w:hAnsi="华文仿宋" w:eastAsia="仿宋_GB2312"/>
          <w:sz w:val="32"/>
        </w:rPr>
      </w:pPr>
      <w:bookmarkStart w:id="123" w:name="_GoBack"/>
      <w:bookmarkEnd w:id="123"/>
      <w:r>
        <mc:AlternateContent>
          <mc:Choice Requires="wps">
            <w:drawing>
              <wp:anchor distT="0" distB="0" distL="114300" distR="114300" simplePos="0" relativeHeight="251659264" behindDoc="0" locked="0" layoutInCell="1" allowOverlap="1">
                <wp:simplePos x="0" y="0"/>
                <wp:positionH relativeFrom="column">
                  <wp:posOffset>753110</wp:posOffset>
                </wp:positionH>
                <wp:positionV relativeFrom="paragraph">
                  <wp:posOffset>250825</wp:posOffset>
                </wp:positionV>
                <wp:extent cx="4142105" cy="432435"/>
                <wp:effectExtent l="0" t="0" r="0" b="0"/>
                <wp:wrapNone/>
                <wp:docPr id="4" name="文本框 4"/>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14:paraId="11436E77">
                            <w:pPr>
                              <w:jc w:val="center"/>
                              <w:rPr>
                                <w:rFonts w:hint="eastAsia" w:ascii="仿宋_GB2312" w:hAnsi="仿宋" w:eastAsia="仿宋_GB2312"/>
                                <w:sz w:val="32"/>
                                <w:szCs w:val="32"/>
                              </w:rPr>
                            </w:pPr>
                            <w:bookmarkStart w:id="122" w:name="文号"/>
                            <w:bookmarkEnd w:id="122"/>
                            <w:r>
                              <w:rPr>
                                <w:rFonts w:hint="eastAsia" w:ascii="仿宋_GB2312" w:hAnsi="仿宋" w:eastAsia="仿宋_GB2312"/>
                                <w:sz w:val="32"/>
                                <w:szCs w:val="32"/>
                              </w:rPr>
                              <w:t>赤政办发〔2023〕31号</w:t>
                            </w:r>
                          </w:p>
                        </w:txbxContent>
                      </wps:txbx>
                      <wps:bodyPr upright="1"/>
                    </wps:wsp>
                  </a:graphicData>
                </a:graphic>
              </wp:anchor>
            </w:drawing>
          </mc:Choice>
          <mc:Fallback>
            <w:pict>
              <v:shape id="_x0000_s1026" o:spid="_x0000_s1026" o:spt="202" type="#_x0000_t202" style="position:absolute;left:0pt;margin-left:59.3pt;margin-top:19.75pt;height:34.05pt;width:326.15pt;z-index:251659264;mso-width-relative:page;mso-height-relative:page;" fillcolor="#FFFFFF" filled="t" stroked="f" coordsize="21600,21600" o:gfxdata="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S3yeK2AAAAAoBAAAPAAAAAAAAAAEAIAAAACIAAABk&#10;cnMvZG93bnJldi54bWxQSwECFAAUAAAACACHTuJA6NoeDs0BAACUAwAADgAAAAAAAAABACAAAAAn&#10;AQAAZHJzL2Uyb0RvYy54bWxQSwUGAAAAAAYABgBZAQAAZgUAAAAA&#10;">
                <v:fill on="t" opacity="0f" focussize="0,0"/>
                <v:stroke on="f"/>
                <v:imagedata o:title=""/>
                <o:lock v:ext="edit" aspectratio="f"/>
                <v:textbox>
                  <w:txbxContent>
                    <w:p w14:paraId="11436E77">
                      <w:pPr>
                        <w:jc w:val="center"/>
                        <w:rPr>
                          <w:rFonts w:hint="eastAsia" w:ascii="仿宋_GB2312" w:hAnsi="仿宋" w:eastAsia="仿宋_GB2312"/>
                          <w:sz w:val="32"/>
                          <w:szCs w:val="32"/>
                        </w:rPr>
                      </w:pPr>
                      <w:bookmarkStart w:id="122" w:name="文号"/>
                      <w:bookmarkEnd w:id="122"/>
                      <w:r>
                        <w:rPr>
                          <w:rFonts w:hint="eastAsia" w:ascii="仿宋_GB2312" w:hAnsi="仿宋" w:eastAsia="仿宋_GB2312"/>
                          <w:sz w:val="32"/>
                          <w:szCs w:val="32"/>
                        </w:rPr>
                        <w:t>赤政办发〔2023〕31号</w:t>
                      </w:r>
                    </w:p>
                  </w:txbxContent>
                </v:textbox>
              </v:shape>
            </w:pict>
          </mc:Fallback>
        </mc:AlternateContent>
      </w:r>
    </w:p>
    <w:p w14:paraId="58A1C288">
      <w:pPr>
        <w:adjustRightInd w:val="0"/>
        <w:snapToGrid w:val="0"/>
        <w:spacing w:line="480" w:lineRule="exact"/>
        <w:rPr>
          <w:rFonts w:hint="eastAsia" w:ascii="仿宋_GB2312" w:hAnsi="华文仿宋" w:eastAsia="仿宋_GB2312"/>
          <w:sz w:val="32"/>
        </w:rPr>
      </w:pPr>
    </w:p>
    <w:p w14:paraId="3A5EFC4B">
      <w:pPr>
        <w:adjustRightInd w:val="0"/>
        <w:snapToGrid w:val="0"/>
        <w:spacing w:line="480" w:lineRule="exact"/>
        <w:ind w:firstLine="160" w:firstLineChars="50"/>
        <w:rPr>
          <w:rFonts w:hint="eastAsia" w:ascii="仿宋_GB2312" w:hAnsi="华文仿宋" w:eastAsia="仿宋_GB2312"/>
          <w:sz w:val="32"/>
        </w:rPr>
      </w:pPr>
      <w:r>
        <w:rPr>
          <w:rFonts w:hint="eastAsia" w:ascii="仿宋_GB2312" w:hAnsi="华文仿宋" w:eastAsia="仿宋_GB2312"/>
          <w:sz w:val="32"/>
        </w:rPr>
        <w:t xml:space="preserve">    </w:t>
      </w:r>
      <w:bookmarkStart w:id="2" w:name="标题"/>
      <w:bookmarkEnd w:id="2"/>
    </w:p>
    <w:p w14:paraId="0A34DC8A">
      <w:pPr>
        <w:spacing w:line="560" w:lineRule="exact"/>
        <w:jc w:val="center"/>
        <w:rPr>
          <w:rFonts w:ascii="方正小标宋简体" w:hAnsi="方正小标宋简体" w:eastAsia="方正小标宋简体" w:cs="方正小标宋简体"/>
          <w:sz w:val="44"/>
          <w:szCs w:val="44"/>
        </w:rPr>
      </w:pPr>
    </w:p>
    <w:p w14:paraId="311BFCD1">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赤峰市</w:t>
      </w:r>
      <w:r>
        <w:rPr>
          <w:rFonts w:ascii="方正小标宋简体" w:hAnsi="方正小标宋简体" w:eastAsia="方正小标宋简体" w:cs="方正小标宋简体"/>
          <w:sz w:val="44"/>
          <w:szCs w:val="44"/>
        </w:rPr>
        <w:t>人民政府办公室关于</w:t>
      </w:r>
      <w:r>
        <w:rPr>
          <w:rFonts w:hint="eastAsia" w:ascii="方正小标宋简体" w:hAnsi="方正小标宋简体" w:eastAsia="方正小标宋简体" w:cs="方正小标宋简体"/>
          <w:sz w:val="44"/>
          <w:szCs w:val="44"/>
        </w:rPr>
        <w:t>印发</w:t>
      </w:r>
    </w:p>
    <w:p w14:paraId="0FB4E89B">
      <w:pPr>
        <w:spacing w:line="56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《赤峰市</w:t>
      </w:r>
      <w:r>
        <w:rPr>
          <w:rFonts w:hint="eastAsia" w:ascii="方正小标宋简体" w:hAnsi="方正小标宋简体" w:eastAsia="方正小标宋简体" w:cs="方正小标宋简体"/>
          <w:sz w:val="44"/>
          <w:szCs w:val="44"/>
        </w:rPr>
        <w:t>“十四五”农牧业农村牧区现代化</w:t>
      </w:r>
    </w:p>
    <w:p w14:paraId="5E2F6395">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发展规划</w:t>
      </w:r>
      <w:r>
        <w:rPr>
          <w:rFonts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rPr>
        <w:t>的</w:t>
      </w:r>
      <w:r>
        <w:rPr>
          <w:rFonts w:ascii="方正小标宋简体" w:hAnsi="方正小标宋简体" w:eastAsia="方正小标宋简体" w:cs="方正小标宋简体"/>
          <w:sz w:val="44"/>
          <w:szCs w:val="44"/>
        </w:rPr>
        <w:t>通知</w:t>
      </w:r>
    </w:p>
    <w:p w14:paraId="5B95DC73">
      <w:pPr>
        <w:spacing w:line="520" w:lineRule="exact"/>
        <w:rPr>
          <w:rFonts w:ascii="楷体_GB2312" w:hAnsi="方正小标宋简体" w:eastAsia="楷体_GB2312" w:cs="方正小标宋简体"/>
          <w:sz w:val="32"/>
          <w:szCs w:val="32"/>
        </w:rPr>
      </w:pPr>
    </w:p>
    <w:p w14:paraId="5F03220D">
      <w:pPr>
        <w:spacing w:line="520" w:lineRule="exact"/>
        <w:rPr>
          <w:rFonts w:ascii="楷体_GB2312" w:hAnsi="方正小标宋简体" w:eastAsia="楷体_GB2312" w:cs="方正小标宋简体"/>
          <w:sz w:val="32"/>
          <w:szCs w:val="32"/>
        </w:rPr>
      </w:pPr>
      <w:r>
        <w:rPr>
          <w:rFonts w:hint="eastAsia" w:ascii="楷体_GB2312" w:hAnsi="方正小标宋简体" w:eastAsia="楷体_GB2312" w:cs="方正小标宋简体"/>
          <w:sz w:val="32"/>
          <w:szCs w:val="32"/>
        </w:rPr>
        <w:t>各旗县区人民政府，市直各委办局，各企事业单位：</w:t>
      </w:r>
    </w:p>
    <w:p w14:paraId="1395AE46">
      <w:pPr>
        <w:spacing w:line="520" w:lineRule="exact"/>
        <w:ind w:firstLine="660"/>
        <w:rPr>
          <w:rFonts w:ascii="楷体_GB2312" w:hAnsi="方正小标宋简体" w:eastAsia="楷体_GB2312" w:cs="方正小标宋简体"/>
          <w:sz w:val="32"/>
          <w:szCs w:val="32"/>
        </w:rPr>
      </w:pPr>
      <w:r>
        <w:rPr>
          <w:rFonts w:hint="eastAsia" w:ascii="楷体_GB2312" w:hAnsi="方正小标宋简体" w:eastAsia="楷体_GB2312" w:cs="方正小标宋简体"/>
          <w:sz w:val="32"/>
          <w:szCs w:val="32"/>
        </w:rPr>
        <w:t>《赤峰市“十四五”农牧业农村牧区现代化发展规划》已经赤峰市人民政府2022年第6次常务会议审议通过。现印发给你们，请结合实际，认真贯彻落实。</w:t>
      </w:r>
    </w:p>
    <w:p w14:paraId="5D7D4FFB">
      <w:pPr>
        <w:spacing w:line="500" w:lineRule="exact"/>
        <w:ind w:firstLine="660"/>
        <w:rPr>
          <w:rFonts w:ascii="楷体_GB2312" w:hAnsi="方正小标宋简体" w:eastAsia="楷体_GB2312" w:cs="方正小标宋简体"/>
          <w:sz w:val="32"/>
          <w:szCs w:val="32"/>
        </w:rPr>
      </w:pPr>
    </w:p>
    <w:p w14:paraId="1893CED1">
      <w:pPr>
        <w:spacing w:line="500" w:lineRule="exact"/>
        <w:ind w:firstLine="660"/>
        <w:rPr>
          <w:rFonts w:ascii="楷体_GB2312" w:hAnsi="方正小标宋简体" w:eastAsia="楷体_GB2312" w:cs="方正小标宋简体"/>
          <w:sz w:val="32"/>
          <w:szCs w:val="32"/>
        </w:rPr>
      </w:pPr>
    </w:p>
    <w:p w14:paraId="62F38E6B">
      <w:pPr>
        <w:spacing w:line="420" w:lineRule="exact"/>
        <w:ind w:firstLine="4960" w:firstLineChars="1550"/>
        <w:rPr>
          <w:rFonts w:ascii="楷体_GB2312" w:hAnsi="方正小标宋简体" w:eastAsia="楷体_GB2312" w:cs="方正小标宋简体"/>
          <w:sz w:val="32"/>
          <w:szCs w:val="32"/>
        </w:rPr>
      </w:pPr>
      <w:r>
        <w:rPr>
          <w:rFonts w:hint="eastAsia" w:ascii="楷体_GB2312" w:hAnsi="方正小标宋简体" w:eastAsia="楷体_GB2312" w:cs="方正小标宋简体"/>
          <w:sz w:val="32"/>
          <w:szCs w:val="32"/>
        </w:rPr>
        <w:t>2023年5月</w:t>
      </w:r>
      <w:r>
        <w:rPr>
          <w:rFonts w:ascii="楷体_GB2312" w:hAnsi="方正小标宋简体" w:eastAsia="楷体_GB2312" w:cs="方正小标宋简体"/>
          <w:sz w:val="32"/>
          <w:szCs w:val="32"/>
        </w:rPr>
        <w:t>31</w:t>
      </w:r>
      <w:r>
        <w:rPr>
          <w:rFonts w:hint="eastAsia" w:ascii="楷体_GB2312" w:hAnsi="方正小标宋简体" w:eastAsia="楷体_GB2312" w:cs="方正小标宋简体"/>
          <w:sz w:val="32"/>
          <w:szCs w:val="32"/>
        </w:rPr>
        <w:t>日</w:t>
      </w:r>
    </w:p>
    <w:p w14:paraId="4628D1A5">
      <w:pPr>
        <w:spacing w:line="420" w:lineRule="exact"/>
        <w:ind w:firstLine="660"/>
        <w:rPr>
          <w:rFonts w:ascii="楷体_GB2312" w:hAnsi="方正小标宋简体" w:eastAsia="楷体_GB2312" w:cs="方正小标宋简体"/>
          <w:sz w:val="32"/>
          <w:szCs w:val="32"/>
        </w:rPr>
      </w:pPr>
      <w:r>
        <w:rPr>
          <w:rFonts w:hint="eastAsia" w:ascii="楷体_GB2312" w:hAnsi="方正小标宋简体" w:eastAsia="楷体_GB2312" w:cs="方正小标宋简体"/>
          <w:sz w:val="32"/>
          <w:szCs w:val="32"/>
        </w:rPr>
        <w:t>（此件公开发布）</w:t>
      </w:r>
    </w:p>
    <w:p w14:paraId="234868AA">
      <w:pPr>
        <w:spacing w:line="56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赤峰市</w:t>
      </w:r>
      <w:r>
        <w:rPr>
          <w:rFonts w:hint="eastAsia" w:ascii="方正小标宋简体" w:hAnsi="方正小标宋简体" w:eastAsia="方正小标宋简体" w:cs="方正小标宋简体"/>
          <w:sz w:val="44"/>
          <w:szCs w:val="44"/>
        </w:rPr>
        <w:t>“十四五”农牧业农村牧区</w:t>
      </w:r>
    </w:p>
    <w:p w14:paraId="43387B7A">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现代化发展规划</w:t>
      </w:r>
    </w:p>
    <w:p w14:paraId="62DD5E52">
      <w:pPr>
        <w:spacing w:line="560" w:lineRule="exact"/>
        <w:ind w:firstLine="640" w:firstLineChars="200"/>
        <w:rPr>
          <w:rFonts w:ascii="仿宋_GB2312" w:hAnsi="仿宋" w:eastAsia="仿宋_GB2312" w:cs="仿宋_GB2312"/>
          <w:kern w:val="0"/>
          <w:sz w:val="32"/>
          <w:szCs w:val="32"/>
        </w:rPr>
      </w:pPr>
    </w:p>
    <w:p w14:paraId="47BAC44B">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为大力推进农牧业和农村牧区现代化工作，根据《内蒙古自治区“十四五”推进农牧业农村牧区现代化发展规划》《赤峰市国民经济和社会发展第十四个五年规划纲要》，编制本规划。</w:t>
      </w:r>
      <w:bookmarkStart w:id="3" w:name="_Toc19951"/>
    </w:p>
    <w:p w14:paraId="1AD1B801">
      <w:pPr>
        <w:spacing w:line="560" w:lineRule="exact"/>
        <w:ind w:firstLine="640" w:firstLineChars="200"/>
        <w:rPr>
          <w:rFonts w:ascii="仿宋_GB2312" w:hAnsi="仿宋_GB2312" w:eastAsia="仿宋_GB2312" w:cs="仿宋_GB2312"/>
          <w:kern w:val="0"/>
          <w:sz w:val="32"/>
          <w:szCs w:val="32"/>
        </w:rPr>
      </w:pPr>
    </w:p>
    <w:p w14:paraId="50191E39">
      <w:pPr>
        <w:numPr>
          <w:ilvl w:val="0"/>
          <w:numId w:val="1"/>
        </w:numPr>
        <w:spacing w:line="560" w:lineRule="exact"/>
        <w:jc w:val="center"/>
        <w:outlineLvl w:val="0"/>
        <w:rPr>
          <w:rFonts w:ascii="黑体" w:hAnsi="黑体" w:eastAsia="黑体" w:cs="黑体"/>
          <w:kern w:val="44"/>
          <w:sz w:val="32"/>
          <w:szCs w:val="48"/>
        </w:rPr>
      </w:pPr>
      <w:bookmarkStart w:id="4" w:name="_Toc94087852"/>
      <w:r>
        <w:rPr>
          <w:rFonts w:hint="eastAsia" w:ascii="黑体" w:hAnsi="黑体" w:eastAsia="黑体" w:cs="黑体"/>
          <w:kern w:val="44"/>
          <w:sz w:val="32"/>
          <w:szCs w:val="48"/>
        </w:rPr>
        <w:t>全面开启农牧业农村牧区现代化新篇章</w:t>
      </w:r>
      <w:bookmarkEnd w:id="3"/>
      <w:bookmarkEnd w:id="4"/>
    </w:p>
    <w:p w14:paraId="643D503F">
      <w:pPr>
        <w:spacing w:line="560" w:lineRule="exact"/>
        <w:ind w:firstLine="640" w:firstLineChars="200"/>
        <w:rPr>
          <w:rFonts w:ascii="仿宋_GB2312" w:hAnsi="仿宋" w:eastAsia="仿宋_GB2312" w:cs="仿宋_GB2312"/>
          <w:kern w:val="0"/>
          <w:sz w:val="32"/>
          <w:szCs w:val="32"/>
        </w:rPr>
      </w:pPr>
    </w:p>
    <w:p w14:paraId="5ACDAEE0">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十四五”时期是我国全面建成小康社会、实现第一个百年奋斗目标之后，乘势而上开启全面建设社会主义现代化国家新征程、向第二个百年奋斗目标进军的第一个五年，“三农三牧”工作重心转向了全面推进乡村振兴，全面推进农牧业农村牧区现代化进程。</w:t>
      </w:r>
    </w:p>
    <w:p w14:paraId="29767615">
      <w:pPr>
        <w:spacing w:line="560" w:lineRule="exact"/>
      </w:pPr>
    </w:p>
    <w:p w14:paraId="49D2CF87">
      <w:pPr>
        <w:spacing w:line="560" w:lineRule="exact"/>
        <w:jc w:val="center"/>
        <w:outlineLvl w:val="1"/>
        <w:rPr>
          <w:rFonts w:ascii="楷体_GB2312" w:hAnsi="楷体_GB2312" w:eastAsia="楷体_GB2312" w:cs="楷体_GB2312"/>
          <w:bCs/>
          <w:kern w:val="0"/>
          <w:sz w:val="32"/>
          <w:szCs w:val="32"/>
        </w:rPr>
      </w:pPr>
      <w:bookmarkStart w:id="5" w:name="_Toc94087853"/>
      <w:r>
        <w:rPr>
          <w:rFonts w:ascii="楷体_GB2312" w:hAnsi="楷体_GB2312" w:eastAsia="楷体_GB2312" w:cs="楷体_GB2312"/>
          <w:bCs/>
          <w:kern w:val="0"/>
          <w:sz w:val="32"/>
          <w:szCs w:val="32"/>
        </w:rPr>
        <w:t>第一节 发展环境</w:t>
      </w:r>
      <w:bookmarkEnd w:id="5"/>
    </w:p>
    <w:p w14:paraId="59E6B004">
      <w:pPr>
        <w:spacing w:line="560" w:lineRule="exact"/>
        <w:rPr>
          <w:rFonts w:ascii="仿宋_GB2312" w:hAnsi="仿宋" w:eastAsia="仿宋_GB2312" w:cs="宋体"/>
          <w:kern w:val="0"/>
          <w:sz w:val="32"/>
          <w:szCs w:val="32"/>
        </w:rPr>
      </w:pPr>
    </w:p>
    <w:p w14:paraId="40F483C3">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十三五”以来，全市认真贯彻落实党中央、国务院、自治区各项支农惠农政策，全面践行新发展理念，积极适应和引领经济发展新常态，不断深化农牧业供给侧结构性改革，加快农牧业经营体制机制创新，稳步提升农牧业综合生产能力，全市现代农牧业和农村牧区各项事业取得显著成效。</w:t>
      </w:r>
    </w:p>
    <w:p w14:paraId="33BFA74D">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楷体_GB2312"/>
          <w:sz w:val="32"/>
          <w:szCs w:val="32"/>
        </w:rPr>
        <w:t>农牧业综合生产能力稳步提升。</w:t>
      </w:r>
      <w:r>
        <w:rPr>
          <w:rFonts w:hint="eastAsia" w:ascii="仿宋_GB2312" w:hAnsi="仿宋" w:eastAsia="仿宋_GB2312" w:cs="仿宋_GB2312"/>
          <w:kern w:val="0"/>
          <w:sz w:val="32"/>
          <w:szCs w:val="32"/>
        </w:rPr>
        <w:t>粮食产量继续稳定在100亿斤以上水平，特别是2020年全市粮食产量达到122.3亿斤，创历史新高。行业统计，2020年六月末全市牲畜存栏达到1906万头只，全市蔬菜、肉类综合生产能力分别达到800万吨和70万吨。</w:t>
      </w:r>
      <w:r>
        <w:rPr>
          <w:rFonts w:hint="eastAsia" w:ascii="仿宋_GB2312" w:hAnsi="仿宋" w:eastAsia="仿宋_GB2312" w:cs="仿宋_GB2312"/>
          <w:sz w:val="32"/>
          <w:szCs w:val="32"/>
        </w:rPr>
        <w:t>农牧业供给侧结构</w:t>
      </w:r>
      <w:r>
        <w:rPr>
          <w:rFonts w:hint="eastAsia" w:ascii="仿宋_GB2312" w:hAnsi="仿宋" w:eastAsia="仿宋_GB2312" w:cs="仿宋_GB2312"/>
          <w:sz w:val="32"/>
          <w:szCs w:val="32"/>
          <w:lang w:eastAsia="zh-CN"/>
        </w:rPr>
        <w:t>性</w:t>
      </w:r>
      <w:r>
        <w:rPr>
          <w:rFonts w:hint="eastAsia" w:ascii="仿宋_GB2312" w:hAnsi="仿宋" w:eastAsia="仿宋_GB2312" w:cs="仿宋_GB2312"/>
          <w:sz w:val="32"/>
          <w:szCs w:val="32"/>
        </w:rPr>
        <w:t>改革深入推进，产业结构不断优化。</w:t>
      </w:r>
      <w:r>
        <w:rPr>
          <w:rFonts w:hint="eastAsia" w:ascii="仿宋_GB2312" w:hAnsi="仿宋" w:eastAsia="仿宋_GB2312" w:cs="楷体_GB2312"/>
          <w:sz w:val="32"/>
          <w:szCs w:val="32"/>
        </w:rPr>
        <w:t>农牧民收入水平大幅提高。</w:t>
      </w:r>
      <w:r>
        <w:rPr>
          <w:rFonts w:hint="eastAsia" w:ascii="仿宋_GB2312" w:hAnsi="仿宋" w:eastAsia="仿宋_GB2312" w:cs="仿宋_GB2312"/>
          <w:kern w:val="0"/>
          <w:sz w:val="32"/>
          <w:szCs w:val="32"/>
        </w:rPr>
        <w:t>2020年全市农村牧区居民人均可支配收入达到13740元，较</w:t>
      </w:r>
      <w:r>
        <w:rPr>
          <w:rFonts w:ascii="仿宋_GB2312" w:hAnsi="仿宋" w:eastAsia="仿宋_GB2312" w:cs="仿宋_GB2312"/>
          <w:kern w:val="0"/>
          <w:sz w:val="32"/>
          <w:szCs w:val="32"/>
        </w:rPr>
        <w:t>2015</w:t>
      </w:r>
      <w:r>
        <w:rPr>
          <w:rFonts w:hint="eastAsia" w:ascii="仿宋_GB2312" w:hAnsi="仿宋" w:eastAsia="仿宋_GB2312" w:cs="仿宋_GB2312"/>
          <w:kern w:val="0"/>
          <w:sz w:val="32"/>
          <w:szCs w:val="32"/>
        </w:rPr>
        <w:t>年增长55.9%，农村牧区常住居民人均可支配收入迈上一万元台阶，城乡居民人均可支配收入比值由2.86下降到2.53，农牧民生产生活持续改善。</w:t>
      </w:r>
      <w:r>
        <w:rPr>
          <w:rFonts w:hint="eastAsia" w:ascii="仿宋_GB2312" w:hAnsi="仿宋" w:eastAsia="仿宋_GB2312" w:cs="楷体_GB2312"/>
          <w:sz w:val="32"/>
          <w:szCs w:val="32"/>
        </w:rPr>
        <w:t>产业扶贫成效显著。</w:t>
      </w:r>
      <w:r>
        <w:rPr>
          <w:rFonts w:hint="eastAsia" w:ascii="仿宋_GB2312" w:hAnsi="仿宋" w:eastAsia="仿宋_GB2312" w:cs="仿宋_GB2312"/>
          <w:kern w:val="0"/>
          <w:sz w:val="32"/>
          <w:szCs w:val="32"/>
        </w:rPr>
        <w:t>大力发展肉牛、肉羊、生猪、蔬菜、饲草等主导产业，因地制宜发展特色优势产业，增强扶贫产业带贫效果。建成基础设施完备、带贫减贫示范力强的扶贫产业园区180个，带动贫困人口18.8万人。2015年以来，全市累计投入财政扶贫资金75.8亿元，实施产业扶贫项目1.5万个，覆盖嘎查村2013个。</w:t>
      </w:r>
      <w:r>
        <w:rPr>
          <w:rFonts w:hint="eastAsia" w:ascii="仿宋_GB2312" w:hAnsi="仿宋" w:eastAsia="仿宋_GB2312" w:cs="楷体_GB2312"/>
          <w:sz w:val="32"/>
          <w:szCs w:val="32"/>
        </w:rPr>
        <w:t>乡村振兴试验示范带建设稳步推进。</w:t>
      </w:r>
      <w:r>
        <w:rPr>
          <w:rFonts w:hint="eastAsia" w:ascii="仿宋_GB2312" w:hAnsi="仿宋" w:eastAsia="仿宋_GB2312" w:cs="仿宋_GB2312"/>
          <w:kern w:val="0"/>
          <w:sz w:val="32"/>
          <w:szCs w:val="32"/>
        </w:rPr>
        <w:t>在南部7个旗县区推进乡村振兴示范带建设，在北部5个旗县推进乡村振兴示范嘎查村建设，到2020年底，全市乡村振兴试验示范带和示范嘎查村实际完成投资90.15亿元，完工重点项目297个。</w:t>
      </w:r>
      <w:r>
        <w:rPr>
          <w:rFonts w:hint="eastAsia" w:ascii="仿宋_GB2312" w:hAnsi="仿宋" w:eastAsia="仿宋_GB2312" w:cs="楷体_GB2312"/>
          <w:sz w:val="32"/>
          <w:szCs w:val="32"/>
        </w:rPr>
        <w:t>农村牧区人居环境整治扎实推进。</w:t>
      </w:r>
      <w:r>
        <w:rPr>
          <w:rFonts w:hint="eastAsia" w:ascii="仿宋_GB2312" w:hAnsi="仿宋" w:eastAsia="仿宋_GB2312" w:cs="仿宋_GB2312"/>
          <w:kern w:val="0"/>
          <w:sz w:val="32"/>
          <w:szCs w:val="32"/>
        </w:rPr>
        <w:t>“十三五”期间，全市农村牧区累计完成新建、改造户用卫生厕所24.5万户以上，卫生厕所普及率达32.17%。全市2049个行政村基本建成生活垃圾收运体系。开展以“三清一改”为重点的村庄清洁行动，清理生活垃圾、畜禽粪污400余万吨，清理村内水塘1000余口、沟渠1万余公里，全市村庄绿化率达到30.02%，</w:t>
      </w:r>
      <w:r>
        <w:rPr>
          <w:rFonts w:hint="eastAsia" w:ascii="仿宋_GB2312" w:hAnsi="仿宋" w:eastAsia="仿宋_GB2312" w:cs="仿宋_GB2312"/>
          <w:sz w:val="32"/>
          <w:szCs w:val="32"/>
        </w:rPr>
        <w:t>村容村貌明显改善</w:t>
      </w:r>
      <w:r>
        <w:rPr>
          <w:rFonts w:hint="eastAsia" w:ascii="仿宋_GB2312" w:hAnsi="仿宋" w:eastAsia="仿宋_GB2312" w:cs="仿宋_GB2312"/>
          <w:kern w:val="0"/>
          <w:sz w:val="32"/>
          <w:szCs w:val="32"/>
        </w:rPr>
        <w:t>。全市所有行政村将人居环境整治内容纳入了村规民约，2001个行政村建立了人居环境管护机制。</w:t>
      </w:r>
      <w:r>
        <w:rPr>
          <w:rFonts w:hint="eastAsia" w:ascii="仿宋_GB2312" w:hAnsi="仿宋" w:eastAsia="仿宋_GB2312" w:cs="楷体_GB2312"/>
          <w:sz w:val="32"/>
          <w:szCs w:val="32"/>
        </w:rPr>
        <w:t>农牧业产业化经营深入推进。</w:t>
      </w:r>
      <w:r>
        <w:rPr>
          <w:rFonts w:hint="eastAsia" w:ascii="仿宋_GB2312" w:hAnsi="仿宋" w:eastAsia="仿宋_GB2312" w:cs="仿宋_GB2312"/>
          <w:kern w:val="0"/>
          <w:sz w:val="32"/>
          <w:szCs w:val="32"/>
        </w:rPr>
        <w:t>到2020年末，全市规模以上（销售收入500万元以上）农畜产品加工企业达到377家，实现销售收入315亿元，同比增长4.7%。市级以上重点龙头企业达到273家。创建市级以上示范联合体41家，示范联合体共带动新型经营主体418家，贫困户7900户。敖汉旗成为第一批获准创建自治区级现代农牧业产业园的旗县之一。创建国家级休闲农业和乡村旅游示范县3个，示范点3家，创建中国美丽休闲乡村3个；自治区级示范县2个，示范点14家；市级示范点54家，休闲农牧业和乡村旅游激发了农业农村的发展活力。</w:t>
      </w:r>
      <w:r>
        <w:rPr>
          <w:rFonts w:hint="eastAsia" w:ascii="仿宋_GB2312" w:hAnsi="仿宋" w:eastAsia="仿宋_GB2312" w:cs="楷体_GB2312"/>
          <w:sz w:val="32"/>
          <w:szCs w:val="32"/>
        </w:rPr>
        <w:t>农牧业科技贡献率不断提高，科技支撑作用更加突出。</w:t>
      </w:r>
      <w:r>
        <w:rPr>
          <w:rFonts w:hint="eastAsia" w:ascii="仿宋_GB2312" w:hAnsi="仿宋" w:eastAsia="仿宋_GB2312" w:cs="仿宋_GB2312"/>
          <w:kern w:val="0"/>
          <w:sz w:val="32"/>
          <w:szCs w:val="32"/>
        </w:rPr>
        <w:t>“十三五”期间，全市农牧业科技创新能力明显增强，全市农牧业科技贡献率达到59%以上。全市主要农作物良种覆盖率、牲畜良改率分别达到98%、97%，科技创新对农牧业发展的支撑能力显著增强。</w:t>
      </w:r>
      <w:r>
        <w:rPr>
          <w:rFonts w:hint="eastAsia" w:ascii="仿宋_GB2312" w:hAnsi="仿宋" w:eastAsia="仿宋_GB2312" w:cs="楷体_GB2312"/>
          <w:sz w:val="32"/>
          <w:szCs w:val="32"/>
        </w:rPr>
        <w:t>农牧业机械化装备水平提高，全面机械化加快推进。</w:t>
      </w:r>
      <w:r>
        <w:rPr>
          <w:rFonts w:hint="eastAsia" w:ascii="仿宋_GB2312" w:hAnsi="仿宋" w:eastAsia="仿宋_GB2312" w:cs="仿宋_GB2312"/>
          <w:kern w:val="0"/>
          <w:sz w:val="32"/>
          <w:szCs w:val="32"/>
        </w:rPr>
        <w:t>到2020年底，全市农机总动力达到630.46万千瓦，较“十二五”期末提高了46%；全市农作物耕种收综合机械化率达到81.1%，比“十二五”期末提高10.1个百分点；小麦、水稻、玉米三大粮食作物耕种收综合机械化率分别达到100%、99.42%、93.34%。全市农机化作业服务组织达到599个，累计作业服务面积970万亩，分别是“十二五”期末的2.16倍和1.65倍。</w:t>
      </w:r>
      <w:r>
        <w:rPr>
          <w:rFonts w:hint="eastAsia" w:ascii="仿宋_GB2312" w:hAnsi="仿宋" w:eastAsia="仿宋_GB2312" w:cs="楷体_GB2312"/>
          <w:sz w:val="32"/>
          <w:szCs w:val="32"/>
        </w:rPr>
        <w:t>农畜产品质量安全和动物疫病防控工作成效显著。</w:t>
      </w:r>
      <w:r>
        <w:rPr>
          <w:rFonts w:hint="eastAsia" w:ascii="仿宋_GB2312" w:hAnsi="仿宋" w:eastAsia="仿宋_GB2312" w:cs="仿宋_GB2312"/>
          <w:kern w:val="0"/>
          <w:sz w:val="32"/>
          <w:szCs w:val="32"/>
        </w:rPr>
        <w:t>到“十三五”期末，全市共创建国家农产品质量安全县1个，自治区农产品质量安全县5个。农畜产品抽检总体合格率稳定在97.5%以上。绿色、有机、地理标志农产品增加到434个。切实加强重大动物疫病防控，持之以恒抓好非洲猪瘟防控工作，全市未发生重大区域性动物疫情。</w:t>
      </w:r>
      <w:r>
        <w:rPr>
          <w:rFonts w:hint="eastAsia" w:ascii="仿宋_GB2312" w:hAnsi="仿宋" w:eastAsia="仿宋_GB2312" w:cs="楷体_GB2312"/>
          <w:sz w:val="32"/>
          <w:szCs w:val="32"/>
        </w:rPr>
        <w:t>农牧业绿色发展不断深入，农牧业生产条件明显改善。</w:t>
      </w:r>
      <w:r>
        <w:rPr>
          <w:rFonts w:hint="eastAsia" w:ascii="仿宋_GB2312" w:hAnsi="仿宋" w:eastAsia="仿宋_GB2312" w:cs="仿宋_GB2312"/>
          <w:kern w:val="0"/>
          <w:sz w:val="32"/>
          <w:szCs w:val="32"/>
        </w:rPr>
        <w:t>农牧业面源污染防治工作取得新进展，行业统计，到2020年，全市畜禽粪污综合利用率达到75%，化肥、农药施用量分别降至27.64万吨和2410.57吨，农作物秸秆综合利用达到87%以上，废旧地膜回收利用率达到80%以上。农牧业实用技术得到全面推广，测土配方施肥、秸秆还田、增施有机肥、水肥一体化等技术广泛应用，资源利用率、土地产出率得到提高。畜牧业生产条件得到改善，棚圈、贮草棚、防疫和粪污治理设施、人畜饮水井等设备建设明显加强。</w:t>
      </w:r>
      <w:r>
        <w:rPr>
          <w:rFonts w:hint="eastAsia" w:ascii="仿宋_GB2312" w:hAnsi="仿宋" w:eastAsia="仿宋_GB2312" w:cs="楷体_GB2312"/>
          <w:sz w:val="32"/>
          <w:szCs w:val="32"/>
        </w:rPr>
        <w:t>农村牧区改革稳步推进，发展活力动力持续增强。</w:t>
      </w:r>
      <w:r>
        <w:rPr>
          <w:rFonts w:hint="eastAsia" w:ascii="仿宋_GB2312" w:hAnsi="仿宋" w:eastAsia="仿宋_GB2312" w:cs="仿宋_GB2312"/>
          <w:kern w:val="0"/>
          <w:sz w:val="32"/>
          <w:szCs w:val="32"/>
        </w:rPr>
        <w:t>到2020年末，全市家庭承包经营耕地流转面积到962.5万亩，较2015年增加529.1万亩，全市土地流转速度明显加快，流转面积逐年增加，流转方式、流转对象呈现多样化趋势，农业生产托管服务组织2295个，农业生产集约化、规模化趋势生产加快推进。嘎查村基本成立了嘎查村集体（股份）经济合作社。在市场监管部门注册并正常运转的农牧民合作社1.2万个，其中，国家级示范社</w:t>
      </w:r>
      <w:r>
        <w:rPr>
          <w:rFonts w:ascii="仿宋_GB2312" w:hAnsi="仿宋" w:eastAsia="仿宋_GB2312" w:cs="仿宋_GB2312"/>
          <w:kern w:val="0"/>
          <w:sz w:val="32"/>
          <w:szCs w:val="32"/>
        </w:rPr>
        <w:t>57个</w:t>
      </w:r>
      <w:r>
        <w:rPr>
          <w:rFonts w:hint="eastAsia" w:ascii="仿宋_GB2312" w:hAnsi="仿宋" w:eastAsia="仿宋_GB2312" w:cs="仿宋_GB2312"/>
          <w:kern w:val="0"/>
          <w:sz w:val="32"/>
          <w:szCs w:val="32"/>
        </w:rPr>
        <w:t>、自治区级示范社</w:t>
      </w:r>
      <w:r>
        <w:rPr>
          <w:rFonts w:ascii="仿宋_GB2312" w:hAnsi="仿宋" w:eastAsia="仿宋_GB2312" w:cs="仿宋_GB2312"/>
          <w:kern w:val="0"/>
          <w:sz w:val="32"/>
          <w:szCs w:val="32"/>
        </w:rPr>
        <w:t>148个</w:t>
      </w:r>
      <w:r>
        <w:rPr>
          <w:rFonts w:hint="eastAsia" w:ascii="仿宋_GB2312" w:hAnsi="仿宋" w:eastAsia="仿宋_GB2312" w:cs="仿宋_GB2312"/>
          <w:kern w:val="0"/>
          <w:sz w:val="32"/>
          <w:szCs w:val="32"/>
        </w:rPr>
        <w:t>、市级合作社示范社</w:t>
      </w:r>
      <w:r>
        <w:rPr>
          <w:rFonts w:ascii="仿宋_GB2312" w:hAnsi="仿宋" w:eastAsia="仿宋_GB2312" w:cs="仿宋_GB2312"/>
          <w:kern w:val="0"/>
          <w:sz w:val="32"/>
          <w:szCs w:val="32"/>
        </w:rPr>
        <w:t>587个</w:t>
      </w:r>
      <w:r>
        <w:rPr>
          <w:rFonts w:hint="eastAsia" w:ascii="仿宋_GB2312" w:hAnsi="仿宋" w:eastAsia="仿宋_GB2312" w:cs="仿宋_GB2312"/>
          <w:kern w:val="0"/>
          <w:sz w:val="32"/>
          <w:szCs w:val="32"/>
        </w:rPr>
        <w:t>。家庭农牧场达到3254家。</w:t>
      </w:r>
    </w:p>
    <w:p w14:paraId="559D16CA">
      <w:pPr>
        <w:spacing w:line="560" w:lineRule="exact"/>
        <w:rPr>
          <w:rFonts w:ascii="仿宋_GB2312" w:hAnsi="仿宋" w:eastAsia="仿宋_GB2312" w:cs="仿宋_GB2312"/>
          <w:sz w:val="32"/>
        </w:rPr>
      </w:pPr>
      <w:r>
        <w:rPr>
          <w:rFonts w:hint="eastAsia" w:ascii="仿宋_GB2312" w:hAnsi="仿宋" w:eastAsia="仿宋_GB2312" w:cs="仿宋_GB2312"/>
          <w:sz w:val="32"/>
        </w:rPr>
        <w:t xml:space="preserve">    这些成就标志着农牧业农村牧区发展实现了新的跨越，为“十四五”时期加快推进农牧业农村牧区现代化奠定了坚实基础。</w:t>
      </w:r>
    </w:p>
    <w:p w14:paraId="68C7F9A4">
      <w:pPr>
        <w:spacing w:line="560" w:lineRule="exact"/>
        <w:rPr>
          <w:rFonts w:ascii="仿宋_GB2312" w:hAnsi="仿宋_GB2312" w:eastAsia="仿宋_GB2312" w:cs="仿宋_GB2312"/>
          <w:sz w:val="32"/>
        </w:rPr>
      </w:pPr>
    </w:p>
    <w:p w14:paraId="1E5DDDE1">
      <w:pPr>
        <w:spacing w:line="560" w:lineRule="exact"/>
        <w:jc w:val="center"/>
        <w:outlineLvl w:val="1"/>
        <w:rPr>
          <w:rFonts w:ascii="楷体_GB2312" w:hAnsi="楷体_GB2312" w:eastAsia="楷体_GB2312" w:cs="楷体_GB2312"/>
          <w:bCs/>
          <w:kern w:val="0"/>
          <w:sz w:val="32"/>
          <w:szCs w:val="32"/>
        </w:rPr>
      </w:pPr>
      <w:bookmarkStart w:id="6" w:name="_Toc94087854"/>
      <w:r>
        <w:rPr>
          <w:rFonts w:ascii="楷体_GB2312" w:hAnsi="楷体_GB2312" w:eastAsia="楷体_GB2312" w:cs="楷体_GB2312"/>
          <w:bCs/>
          <w:kern w:val="0"/>
          <w:sz w:val="32"/>
          <w:szCs w:val="32"/>
        </w:rPr>
        <w:t>第二节 新时期面临的挑战和机遇</w:t>
      </w:r>
      <w:bookmarkEnd w:id="6"/>
    </w:p>
    <w:p w14:paraId="5B75B68C">
      <w:pPr>
        <w:spacing w:line="560" w:lineRule="exact"/>
        <w:ind w:firstLine="640" w:firstLineChars="200"/>
        <w:rPr>
          <w:rFonts w:ascii="黑体" w:hAnsi="黑体" w:eastAsia="黑体" w:cs="黑体"/>
          <w:sz w:val="32"/>
          <w:szCs w:val="32"/>
        </w:rPr>
      </w:pPr>
    </w:p>
    <w:p w14:paraId="2FBECAD4">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“十四五”时期，全市农牧业和农村牧区发展还存在不少突出短板，面临诸多风险挑战。</w:t>
      </w:r>
    </w:p>
    <w:p w14:paraId="6C2A1208">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农牧业大而不强的问题依然突出。</w:t>
      </w:r>
      <w:r>
        <w:rPr>
          <w:rFonts w:hint="eastAsia" w:ascii="仿宋_GB2312" w:hAnsi="仿宋" w:eastAsia="仿宋_GB2312" w:cs="仿宋_GB2312"/>
          <w:kern w:val="0"/>
          <w:sz w:val="32"/>
          <w:szCs w:val="32"/>
        </w:rPr>
        <w:t>劳动力、土地等生产成本持续攀升，受新冠疫情影响，传统优势农畜产品出口难度加大；主导产业产业链条短、产品附加值低，农畜产品品牌影响力小的问题没有彻底解决，我市农牧业大而不强、多而不优、整体效益不高的问题更加突出。</w:t>
      </w:r>
    </w:p>
    <w:p w14:paraId="49F12473">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农村牧区资源环境约束不断加剧。</w:t>
      </w:r>
      <w:r>
        <w:rPr>
          <w:rFonts w:hint="eastAsia" w:ascii="仿宋_GB2312" w:hAnsi="仿宋" w:eastAsia="仿宋_GB2312" w:cs="仿宋_GB2312"/>
          <w:kern w:val="0"/>
          <w:sz w:val="32"/>
          <w:szCs w:val="32"/>
        </w:rPr>
        <w:t>水资源严重匮乏，土壤肥力水平整体偏低，农牧业面源污染治理存在较大困难，农村牧区人居环境质量亟待提升。传统的依靠拼资源消耗、拼农资投入、拼生态环境的粗放经营难以为继，亟待转型升级。保障农畜产品有效供给和质量安全，实现农牧业绿色发展日益迫切。</w:t>
      </w:r>
    </w:p>
    <w:p w14:paraId="13E61DCE">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农村人口老龄化、空心化问题日趋严峻。</w:t>
      </w:r>
      <w:r>
        <w:rPr>
          <w:rFonts w:hint="eastAsia" w:ascii="仿宋_GB2312" w:hAnsi="仿宋" w:eastAsia="仿宋_GB2312" w:cs="仿宋_GB2312"/>
          <w:kern w:val="0"/>
          <w:sz w:val="32"/>
          <w:szCs w:val="32"/>
        </w:rPr>
        <w:t>城镇化进程加快推进，农村牧区劳动人口流失严重，农民老龄化、农村空心化问题日益加剧，“谁来种地”“如何种地”的问题日益凸显。</w:t>
      </w:r>
    </w:p>
    <w:p w14:paraId="540272F7">
      <w:pPr>
        <w:spacing w:line="560" w:lineRule="exact"/>
        <w:ind w:firstLine="640" w:firstLineChars="200"/>
        <w:rPr>
          <w:rFonts w:ascii="仿宋_GB2312" w:hAnsi="仿宋_GB2312" w:eastAsia="仿宋_GB2312" w:cs="仿宋_GB2312"/>
          <w:kern w:val="0"/>
          <w:sz w:val="32"/>
          <w:szCs w:val="32"/>
        </w:rPr>
      </w:pPr>
      <w:r>
        <w:rPr>
          <w:rFonts w:hint="eastAsia" w:ascii="楷体_GB2312" w:hAnsi="楷体_GB2312" w:eastAsia="楷体_GB2312" w:cs="楷体_GB2312"/>
          <w:sz w:val="32"/>
          <w:szCs w:val="32"/>
        </w:rPr>
        <w:t>农村牧区基础设施建设和乡村治理还需加强。</w:t>
      </w:r>
      <w:r>
        <w:rPr>
          <w:rFonts w:hint="eastAsia" w:ascii="仿宋_GB2312" w:hAnsi="仿宋" w:eastAsia="仿宋_GB2312" w:cs="仿宋_GB2312"/>
          <w:kern w:val="0"/>
          <w:sz w:val="32"/>
          <w:szCs w:val="32"/>
        </w:rPr>
        <w:t>农村牧区水、电、路等基础设施仍需完善，通讯、医疗、教育、养老等基本民生与城市的差距在不断拉大，乡村治理体系和治理能力亟待加强。</w:t>
      </w:r>
    </w:p>
    <w:p w14:paraId="0B06DABE">
      <w:pPr>
        <w:spacing w:line="560" w:lineRule="exact"/>
        <w:ind w:firstLine="640"/>
        <w:rPr>
          <w:rFonts w:ascii="仿宋_GB2312" w:hAnsi="仿宋" w:eastAsia="仿宋_GB2312" w:cs="仿宋_GB2312"/>
          <w:kern w:val="0"/>
          <w:sz w:val="32"/>
          <w:szCs w:val="32"/>
        </w:rPr>
      </w:pPr>
      <w:r>
        <w:rPr>
          <w:rFonts w:hint="eastAsia" w:ascii="楷体_GB2312" w:hAnsi="楷体_GB2312" w:eastAsia="楷体_GB2312" w:cs="楷体_GB2312"/>
          <w:sz w:val="32"/>
          <w:szCs w:val="32"/>
        </w:rPr>
        <w:t>农牧民持续增收的压力持续加大。</w:t>
      </w:r>
      <w:r>
        <w:rPr>
          <w:rFonts w:hint="eastAsia" w:ascii="仿宋_GB2312" w:hAnsi="仿宋" w:eastAsia="仿宋_GB2312" w:cs="仿宋_GB2312"/>
          <w:kern w:val="0"/>
          <w:sz w:val="32"/>
          <w:szCs w:val="32"/>
        </w:rPr>
        <w:t>农牧业生产成本地板和价格天花板双重挤压越来越重，依靠提价增收、转移就业的空间收窄，家庭经营收入和工资性收入增速放缓，新型职业农民和高素质农业生产者缺乏，持续增收压力较大。</w:t>
      </w:r>
    </w:p>
    <w:p w14:paraId="19037ED5">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巩固拓展脱贫攻坚成果任务比较艰巨。</w:t>
      </w:r>
      <w:r>
        <w:rPr>
          <w:rFonts w:hint="eastAsia" w:ascii="仿宋_GB2312" w:hAnsi="仿宋" w:eastAsia="仿宋_GB2312" w:cs="仿宋_GB2312"/>
          <w:kern w:val="0"/>
          <w:sz w:val="32"/>
          <w:szCs w:val="32"/>
        </w:rPr>
        <w:t>脱贫地区产业发展基础不牢，内生动力和自我发展能力不强，部分脱贫户基础较脆弱，防止返贫任务较重。</w:t>
      </w:r>
    </w:p>
    <w:p w14:paraId="37EA9996">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展望“十四五”，推进农牧业和农村牧区现代化的有利条件不断积蓄。农牧业和农村牧区发展迎来大变革、大转型的关键时期，加快农牧业农村牧区现代化迎来了难得的机遇。</w:t>
      </w:r>
    </w:p>
    <w:p w14:paraId="1DCAA9AB">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政策导向更加鲜明。</w:t>
      </w:r>
      <w:r>
        <w:rPr>
          <w:rFonts w:hint="eastAsia" w:ascii="仿宋_GB2312" w:hAnsi="仿宋" w:eastAsia="仿宋_GB2312" w:cs="仿宋_GB2312"/>
          <w:kern w:val="0"/>
          <w:sz w:val="32"/>
          <w:szCs w:val="32"/>
        </w:rPr>
        <w:t>全面实施乡村振兴战略对农牧业农村牧区支持保护持续加力，多元投入格局加快形成，更多资源要素向乡村集聚，为推进农牧业农村牧区现代化提供有力保障。</w:t>
      </w:r>
    </w:p>
    <w:p w14:paraId="3D0B791F">
      <w:pPr>
        <w:spacing w:line="560" w:lineRule="exact"/>
        <w:ind w:firstLine="640"/>
        <w:rPr>
          <w:rFonts w:ascii="仿宋_GB2312" w:hAnsi="仿宋_GB2312" w:eastAsia="仿宋_GB2312" w:cs="仿宋_GB2312"/>
          <w:kern w:val="0"/>
          <w:sz w:val="32"/>
          <w:szCs w:val="32"/>
        </w:rPr>
      </w:pPr>
      <w:r>
        <w:rPr>
          <w:rFonts w:hint="eastAsia" w:ascii="楷体_GB2312" w:hAnsi="楷体_GB2312" w:eastAsia="楷体_GB2312" w:cs="楷体_GB2312"/>
          <w:sz w:val="32"/>
          <w:szCs w:val="32"/>
        </w:rPr>
        <w:t>科技支撑更加有力。</w:t>
      </w:r>
      <w:r>
        <w:rPr>
          <w:rFonts w:hint="eastAsia" w:ascii="仿宋_GB2312" w:hAnsi="仿宋" w:eastAsia="仿宋_GB2312" w:cs="仿宋_GB2312"/>
          <w:kern w:val="0"/>
          <w:sz w:val="32"/>
          <w:szCs w:val="32"/>
        </w:rPr>
        <w:t>新一轮科技革命和产业变革深入发展，生物技术、信息技术等加快向农牧业农村牧区各领域渗透，乡村产业加快升级，数字乡村建设不断深入，为现代农牧业的产业融合、智能生产、智慧管理、网络服务奠定基础，为推进农牧业农村牧区现代化提供动力支撑。</w:t>
      </w:r>
    </w:p>
    <w:p w14:paraId="4DF4C1D3">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农牧业农村牧区改革更加深入。</w:t>
      </w:r>
      <w:r>
        <w:rPr>
          <w:rFonts w:hint="eastAsia" w:ascii="仿宋_GB2312" w:hAnsi="仿宋" w:eastAsia="仿宋_GB2312" w:cs="仿宋_GB2312"/>
          <w:kern w:val="0"/>
          <w:sz w:val="32"/>
          <w:szCs w:val="32"/>
        </w:rPr>
        <w:t>农村牧区各项改革深入推进，为农村牧区发展注入新动能，将进一步激发农村发展活力，为促进农牧民增收和农村牧区繁荣提供持续动力。</w:t>
      </w:r>
    </w:p>
    <w:p w14:paraId="045283F4">
      <w:pPr>
        <w:spacing w:line="560" w:lineRule="exact"/>
        <w:ind w:firstLine="640" w:firstLineChars="200"/>
        <w:rPr>
          <w:rFonts w:hint="eastAsia" w:ascii="仿宋_GB2312" w:hAnsi="仿宋" w:eastAsia="仿宋_GB2312" w:cs="仿宋_GB2312"/>
          <w:kern w:val="0"/>
          <w:sz w:val="32"/>
          <w:szCs w:val="32"/>
        </w:rPr>
      </w:pPr>
      <w:r>
        <w:rPr>
          <w:rFonts w:hint="eastAsia" w:ascii="楷体_GB2312" w:hAnsi="楷体_GB2312" w:eastAsia="楷体_GB2312" w:cs="楷体_GB2312"/>
          <w:sz w:val="32"/>
          <w:szCs w:val="32"/>
        </w:rPr>
        <w:t>市场驱动更加强劲。</w:t>
      </w:r>
      <w:r>
        <w:rPr>
          <w:rFonts w:hint="eastAsia" w:ascii="仿宋_GB2312" w:hAnsi="仿宋" w:eastAsia="仿宋_GB2312" w:cs="仿宋_GB2312"/>
          <w:kern w:val="0"/>
          <w:sz w:val="32"/>
          <w:szCs w:val="32"/>
        </w:rPr>
        <w:t>构建新发展格局，把扩大内需作为战略基点，农村牧区消费潜力不断激发，农牧业多种功能、乡村多元价值开发将带动新消费需求，为推进农牧业农村牧区现代化拓展广阔空间。</w:t>
      </w:r>
    </w:p>
    <w:p w14:paraId="23522208">
      <w:pPr>
        <w:spacing w:line="560" w:lineRule="exact"/>
        <w:ind w:firstLine="640" w:firstLineChars="200"/>
        <w:jc w:val="center"/>
        <w:outlineLvl w:val="1"/>
        <w:rPr>
          <w:rFonts w:ascii="黑体" w:hAnsi="黑体" w:eastAsia="黑体" w:cs="宋体"/>
          <w:kern w:val="0"/>
          <w:sz w:val="32"/>
          <w:szCs w:val="32"/>
        </w:rPr>
      </w:pPr>
      <w:bookmarkStart w:id="7" w:name="_Toc94087855"/>
      <w:r>
        <w:rPr>
          <w:rFonts w:ascii="楷体_GB2312" w:hAnsi="楷体_GB2312" w:eastAsia="楷体_GB2312" w:cs="楷体_GB2312"/>
          <w:bCs/>
          <w:kern w:val="0"/>
          <w:sz w:val="32"/>
          <w:szCs w:val="32"/>
        </w:rPr>
        <w:t xml:space="preserve">第三节 </w:t>
      </w:r>
      <w:bookmarkStart w:id="8" w:name="_Toc120"/>
      <w:r>
        <w:rPr>
          <w:rFonts w:ascii="楷体_GB2312" w:hAnsi="楷体_GB2312" w:eastAsia="楷体_GB2312" w:cs="楷体_GB2312"/>
          <w:bCs/>
          <w:kern w:val="0"/>
          <w:sz w:val="32"/>
          <w:szCs w:val="32"/>
        </w:rPr>
        <w:t>总体要求</w:t>
      </w:r>
      <w:bookmarkEnd w:id="7"/>
      <w:bookmarkEnd w:id="8"/>
    </w:p>
    <w:p w14:paraId="7CA22BDF">
      <w:pPr>
        <w:spacing w:line="560" w:lineRule="exact"/>
        <w:ind w:firstLine="643" w:firstLineChars="200"/>
        <w:rPr>
          <w:rFonts w:ascii="仿宋_GB2312" w:hAnsi="仿宋_GB2312" w:eastAsia="仿宋_GB2312" w:cs="仿宋_GB2312"/>
          <w:b/>
          <w:bCs/>
          <w:sz w:val="32"/>
          <w:szCs w:val="32"/>
        </w:rPr>
      </w:pPr>
    </w:p>
    <w:p w14:paraId="27FC9C9F">
      <w:pPr>
        <w:spacing w:line="560" w:lineRule="exact"/>
        <w:ind w:firstLine="640"/>
        <w:rPr>
          <w:rFonts w:ascii="楷体_GB2312" w:hAnsi="仿宋" w:eastAsia="楷体_GB2312" w:cs="楷体_GB2312"/>
          <w:kern w:val="0"/>
          <w:sz w:val="32"/>
          <w:szCs w:val="32"/>
        </w:rPr>
      </w:pPr>
      <w:r>
        <w:rPr>
          <w:rFonts w:hint="eastAsia" w:ascii="楷体_GB2312" w:hAnsi="仿宋" w:eastAsia="楷体_GB2312" w:cs="楷体_GB2312"/>
          <w:kern w:val="0"/>
          <w:sz w:val="32"/>
          <w:szCs w:val="32"/>
        </w:rPr>
        <w:t>1.指导思想</w:t>
      </w:r>
    </w:p>
    <w:p w14:paraId="31044F6D">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以习近平新时代中国特色社会主义思想为指导，全面贯彻党的二十大精神，全面落实习近平总书记关于“三农”工作的重要论述和对内蒙古重要讲话重要指示批示精神，完整、准确、全面贯彻新发展理念，立足打造国家重要农畜产品生产基地和北方重要生态安全屏障的战略定位，以生态优先、绿色发展为导向，以保障国家粮食安全、提高农牧业质量效益和竞争力为核心，以农牧业供给侧结构性改革为主线，以改革创新为根本动力，坚持农牧业农村牧区优先发展，全面推进乡村振兴，不断推进农牧业高质量发展，加快农牧业农村牧区现代化进程。</w:t>
      </w:r>
    </w:p>
    <w:p w14:paraId="452331BA">
      <w:pPr>
        <w:spacing w:line="560" w:lineRule="exact"/>
        <w:ind w:left="643"/>
        <w:rPr>
          <w:rFonts w:ascii="楷体_GB2312" w:hAnsi="仿宋" w:eastAsia="楷体_GB2312" w:cs="楷体_GB2312"/>
          <w:kern w:val="0"/>
          <w:sz w:val="32"/>
          <w:szCs w:val="32"/>
        </w:rPr>
      </w:pPr>
      <w:r>
        <w:rPr>
          <w:rFonts w:hint="eastAsia" w:ascii="楷体_GB2312" w:hAnsi="仿宋" w:eastAsia="楷体_GB2312" w:cs="楷体_GB2312"/>
          <w:kern w:val="0"/>
          <w:sz w:val="32"/>
          <w:szCs w:val="32"/>
        </w:rPr>
        <w:t>2.基本原则</w:t>
      </w:r>
    </w:p>
    <w:p w14:paraId="08D5367C">
      <w:pPr>
        <w:spacing w:line="560" w:lineRule="exact"/>
        <w:ind w:firstLine="640" w:firstLineChars="200"/>
        <w:rPr>
          <w:rFonts w:ascii="仿宋_GB2312" w:hAnsi="仿宋" w:eastAsia="仿宋_GB2312" w:cs="仿宋_GB2312"/>
          <w:kern w:val="0"/>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生态优先、绿色发展。牢固树立和践行绿水青山就是金山银山的理念，以水资源和环境承载力为刚性约束，坚持以水定产、量水而行，严守生态保护红线，优化农牧业布局和生产结构，推动农牧业绿色发展，构建人与自然和谐共生的农牧业发展新格局。</w:t>
      </w:r>
    </w:p>
    <w:p w14:paraId="76F92BB8">
      <w:pPr>
        <w:spacing w:line="560" w:lineRule="exact"/>
        <w:ind w:firstLine="643"/>
        <w:rPr>
          <w:rFonts w:ascii="仿宋_GB2312" w:eastAsia="仿宋_GB2312"/>
          <w:spacing w:val="-2"/>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政策引领、要素集聚。坚持目标导向和结果导向，把“三农三牧”工作成效放在衡量各级党委和政府政绩的突出位置，在干部配备上优先考虑，在要素配置上优先满足，在资金投入上优先保障，在公共服务上优先安排，强化农牧业农村牧区优先发展的政策导向，激发农牧业农村牧区发展活力。</w:t>
      </w:r>
    </w:p>
    <w:p w14:paraId="7A7E742D">
      <w:pPr>
        <w:spacing w:line="560" w:lineRule="exact"/>
        <w:ind w:firstLine="643"/>
        <w:rPr>
          <w:rFonts w:ascii="仿宋_GB2312" w:eastAsia="仿宋_GB2312"/>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创新驱动、补齐短板。坚持科技创新引领全面创新，建立健全城乡融合发展体制机制，加快补齐农牧业农村牧区基础设施滞后、要素配置不科学、公共服务不强、人才队伍较弱、资金保障不充分等方面的短板，推动农牧业农村牧区充分发展和城乡平衡发展。</w:t>
      </w:r>
    </w:p>
    <w:p w14:paraId="37833DD5">
      <w:pPr>
        <w:spacing w:line="560" w:lineRule="exact"/>
        <w:ind w:firstLine="643"/>
        <w:rPr>
          <w:rFonts w:ascii="仿宋_GB2312" w:hAnsi="仿宋" w:eastAsia="仿宋_GB2312" w:cs="仿宋_GB2312"/>
          <w:kern w:val="0"/>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分类施策、统筹推进。围绕各地区资源禀赋和产业实际，坚持分类施策，宜农则农、宜牧则牧、宜草则草、宜林则林。注重规划先行、精准施策、不搞一刀切，不搞统一模式，既尽力而为，又量力而行，合理设定阶段性目标任务，统筹推进，久久为功。</w:t>
      </w:r>
    </w:p>
    <w:p w14:paraId="1997B057">
      <w:pPr>
        <w:spacing w:line="560" w:lineRule="exact"/>
        <w:ind w:firstLine="643"/>
        <w:rPr>
          <w:rFonts w:ascii="仿宋_GB2312" w:eastAsia="仿宋_GB2312"/>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政府主导、共建家园。坚持以人民为中心，充分尊重农牧民意愿，顺应农牧民新向往，把维护农牧民群众根本利益、促进农牧民共同富裕作为出发点和落脚点，充分调动农牧民建设美好生活和美好家园的积极性、主动性、创造性，促进农牧民持续增收，不断提升农牧民的获得感、幸福感和安全感。</w:t>
      </w:r>
    </w:p>
    <w:p w14:paraId="5CBD59CB">
      <w:pPr>
        <w:spacing w:line="560" w:lineRule="exact"/>
      </w:pPr>
    </w:p>
    <w:p w14:paraId="4B0E2DDA">
      <w:pPr>
        <w:keepNext/>
        <w:keepLines/>
        <w:tabs>
          <w:tab w:val="center" w:pos="4422"/>
        </w:tabs>
        <w:spacing w:line="560" w:lineRule="exact"/>
        <w:outlineLvl w:val="1"/>
        <w:rPr>
          <w:rFonts w:ascii="楷体_GB2312" w:hAnsi="楷体_GB2312" w:eastAsia="楷体_GB2312" w:cs="楷体_GB2312"/>
          <w:kern w:val="0"/>
          <w:sz w:val="32"/>
          <w:szCs w:val="32"/>
        </w:rPr>
      </w:pPr>
      <w:bookmarkStart w:id="9" w:name="_Toc94087856"/>
      <w:r>
        <w:rPr>
          <w:rFonts w:ascii="楷体_GB2312" w:hAnsi="楷体_GB2312" w:eastAsia="楷体_GB2312" w:cs="楷体_GB2312"/>
          <w:kern w:val="0"/>
          <w:sz w:val="32"/>
          <w:szCs w:val="32"/>
        </w:rPr>
        <w:tab/>
      </w:r>
      <w:r>
        <w:rPr>
          <w:rFonts w:ascii="楷体_GB2312" w:hAnsi="楷体_GB2312" w:eastAsia="楷体_GB2312" w:cs="楷体_GB2312"/>
          <w:kern w:val="0"/>
          <w:sz w:val="32"/>
          <w:szCs w:val="32"/>
        </w:rPr>
        <w:t>第四节 发展目标</w:t>
      </w:r>
      <w:bookmarkEnd w:id="9"/>
    </w:p>
    <w:p w14:paraId="5DAFDEA4">
      <w:pPr>
        <w:spacing w:line="560" w:lineRule="exact"/>
      </w:pPr>
    </w:p>
    <w:p w14:paraId="48E14464">
      <w:pPr>
        <w:spacing w:line="560" w:lineRule="exact"/>
        <w:ind w:firstLine="643"/>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到2025年，农牧业和农村牧区现代化取得明显进展，乡村振兴全面推进，粮食有效供给能力进一步巩固，以高标准农田和水平梯田建设为重点的农田基础设施短板基本补齐，农村牧区人居环境明显改善，美丽乡村建设取得重大进展，乡村文明进一步提升，农村牧区发展活力不断释放，农村牧区常住居民人均可支配收入稳步增长，增速高于全国平均水平，把赤峰打造成为中国北方重要的绿色农畜产品生产输出基地。</w:t>
      </w:r>
    </w:p>
    <w:p w14:paraId="01295DF2">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1.农畜产品有效供给能力提升。</w:t>
      </w:r>
      <w:r>
        <w:rPr>
          <w:rFonts w:hint="eastAsia" w:ascii="仿宋_GB2312" w:hAnsi="仿宋" w:eastAsia="仿宋_GB2312" w:cs="仿宋_GB2312"/>
          <w:kern w:val="0"/>
          <w:sz w:val="32"/>
          <w:szCs w:val="32"/>
        </w:rPr>
        <w:t>全市粮食播种面积稳定在1670万亩以上，粮食综合生产能力达到100亿斤以上；蔬菜、肉类、禽蛋、奶类、水产品总产量分别达到850万吨、105万吨、39万吨、100万吨和1.1万吨；农畜产品质量安全水平稳步提升，农畜产品质量安全例行监测总体合格率稳定在98%以上。</w:t>
      </w:r>
    </w:p>
    <w:p w14:paraId="71CAF38D">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2.农牧业基础设施不断完善。</w:t>
      </w:r>
      <w:r>
        <w:rPr>
          <w:rFonts w:hint="eastAsia" w:ascii="仿宋_GB2312" w:hAnsi="仿宋" w:eastAsia="仿宋_GB2312" w:cs="仿宋_GB2312"/>
          <w:kern w:val="0"/>
          <w:sz w:val="32"/>
          <w:szCs w:val="32"/>
        </w:rPr>
        <w:t>新建和改造高标准农田和水平梯田480万亩。大力推进畜牧养殖和设施农业全程机械化，农作物耕种收综合机械化水平达到85.5%以上，力争保护性耕作技术成为适宜地区主流耕作技术。</w:t>
      </w:r>
    </w:p>
    <w:p w14:paraId="58F7A113">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3.产业结构不断优化。</w:t>
      </w:r>
      <w:r>
        <w:rPr>
          <w:rFonts w:hint="eastAsia" w:ascii="仿宋_GB2312" w:hAnsi="仿宋" w:eastAsia="仿宋_GB2312" w:cs="仿宋_GB2312"/>
          <w:kern w:val="0"/>
          <w:sz w:val="32"/>
          <w:szCs w:val="32"/>
        </w:rPr>
        <w:t>坚持集中、集聚、集约发展，加快构建优势突出、产出高效的特色农牧业产业体系，特色主导产业竞争力明显增强，农牧业产业结构进一步优化。</w:t>
      </w:r>
    </w:p>
    <w:p w14:paraId="04F9CB4D">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4.乡村建设取得明显成效。</w:t>
      </w:r>
      <w:r>
        <w:rPr>
          <w:rFonts w:hint="eastAsia" w:ascii="仿宋_GB2312" w:hAnsi="仿宋" w:eastAsia="仿宋_GB2312" w:cs="仿宋_GB2312"/>
          <w:kern w:val="0"/>
          <w:sz w:val="32"/>
          <w:szCs w:val="32"/>
        </w:rPr>
        <w:t>加强农村牧区基础设施建设，农村牧区水、电、路、气、通信、广播电视、物流等基础设施的服务能力和水平大幅提升，农村牧区公共服务体系不断完善。</w:t>
      </w:r>
    </w:p>
    <w:p w14:paraId="0FE6FC7A">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5.农村牧区生产生活环境持续改善。</w:t>
      </w:r>
      <w:r>
        <w:rPr>
          <w:rFonts w:hint="eastAsia" w:ascii="仿宋_GB2312" w:hAnsi="仿宋" w:eastAsia="仿宋_GB2312" w:cs="仿宋_GB2312"/>
          <w:kern w:val="0"/>
          <w:sz w:val="32"/>
          <w:szCs w:val="32"/>
        </w:rPr>
        <w:t>持续开展农牧业面源污染治理行动，推动化肥、农药使用量负增长；农作物秸秆综合利用率达到90%以上，废旧农膜回收利用率达到80%以上；因地制宜推进农村牧区改厕、生活垃圾处理和污水治理，农村牧区人居环境明显改善。</w:t>
      </w:r>
    </w:p>
    <w:p w14:paraId="653AFC3B">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6.农牧民收入持续增长。</w:t>
      </w:r>
      <w:r>
        <w:rPr>
          <w:rFonts w:hint="eastAsia" w:ascii="仿宋_GB2312" w:hAnsi="仿宋" w:eastAsia="仿宋_GB2312" w:cs="仿宋_GB2312"/>
          <w:kern w:val="0"/>
          <w:sz w:val="32"/>
          <w:szCs w:val="32"/>
        </w:rPr>
        <w:t>农村牧区居民人均可支配收入达到自治区平均水平，年均增长7.5%左右；农村牧区居民财产性收入进一步增加，城乡居民收入差距、区域间农牧民收入差距持续缩小。</w:t>
      </w:r>
    </w:p>
    <w:p w14:paraId="038F5A2C">
      <w:pPr>
        <w:spacing w:line="560" w:lineRule="exact"/>
        <w:ind w:firstLine="643"/>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展望2035年，乡村振兴取得决定性进展，农牧业农村牧区现代化基本实现。</w:t>
      </w:r>
    </w:p>
    <w:p w14:paraId="5A2D9EAD"/>
    <w:p w14:paraId="03DBDEEE">
      <w:pPr>
        <w:spacing w:line="440" w:lineRule="exact"/>
        <w:jc w:val="center"/>
        <w:rPr>
          <w:rFonts w:hint="eastAsia" w:ascii="黑体" w:hAnsi="黑体" w:eastAsia="黑体" w:cs="黑体"/>
          <w:kern w:val="0"/>
          <w:sz w:val="32"/>
          <w:szCs w:val="30"/>
        </w:rPr>
      </w:pPr>
      <w:r>
        <w:rPr>
          <w:rFonts w:hint="eastAsia" w:ascii="黑体" w:hAnsi="黑体" w:eastAsia="黑体" w:cs="黑体"/>
          <w:kern w:val="0"/>
          <w:sz w:val="32"/>
          <w:szCs w:val="30"/>
        </w:rPr>
        <w:t>赤峰市“十四五”农牧业和农村牧区经济发展主要指标</w:t>
      </w:r>
    </w:p>
    <w:p w14:paraId="59B33994">
      <w:pPr>
        <w:spacing w:line="440" w:lineRule="exact"/>
        <w:jc w:val="center"/>
        <w:rPr>
          <w:rFonts w:ascii="黑体" w:hAnsi="黑体" w:eastAsia="黑体" w:cs="黑体"/>
          <w:kern w:val="0"/>
          <w:sz w:val="32"/>
          <w:szCs w:val="30"/>
        </w:rPr>
      </w:pPr>
    </w:p>
    <w:tbl>
      <w:tblPr>
        <w:tblStyle w:val="4"/>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402"/>
        <w:gridCol w:w="992"/>
        <w:gridCol w:w="1134"/>
        <w:gridCol w:w="1276"/>
        <w:gridCol w:w="1139"/>
      </w:tblGrid>
      <w:tr w14:paraId="0FD3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1C0EE41F">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类别</w:t>
            </w:r>
          </w:p>
        </w:tc>
        <w:tc>
          <w:tcPr>
            <w:tcW w:w="3402" w:type="dxa"/>
            <w:tcBorders>
              <w:top w:val="single" w:color="auto" w:sz="4" w:space="0"/>
              <w:left w:val="nil"/>
              <w:bottom w:val="single" w:color="auto" w:sz="4" w:space="0"/>
              <w:right w:val="single" w:color="auto" w:sz="4" w:space="0"/>
            </w:tcBorders>
            <w:noWrap w:val="0"/>
            <w:vAlign w:val="center"/>
          </w:tcPr>
          <w:p w14:paraId="1164389D">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主要指标</w:t>
            </w:r>
          </w:p>
        </w:tc>
        <w:tc>
          <w:tcPr>
            <w:tcW w:w="992" w:type="dxa"/>
            <w:tcBorders>
              <w:top w:val="single" w:color="auto" w:sz="4" w:space="0"/>
              <w:left w:val="nil"/>
              <w:bottom w:val="single" w:color="auto" w:sz="4" w:space="0"/>
              <w:right w:val="single" w:color="auto" w:sz="4" w:space="0"/>
            </w:tcBorders>
            <w:noWrap w:val="0"/>
            <w:vAlign w:val="center"/>
          </w:tcPr>
          <w:p w14:paraId="35F8FA7E">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单位</w:t>
            </w:r>
          </w:p>
        </w:tc>
        <w:tc>
          <w:tcPr>
            <w:tcW w:w="1134" w:type="dxa"/>
            <w:tcBorders>
              <w:top w:val="single" w:color="auto" w:sz="4" w:space="0"/>
              <w:left w:val="nil"/>
              <w:bottom w:val="single" w:color="auto" w:sz="4" w:space="0"/>
              <w:right w:val="single" w:color="auto" w:sz="4" w:space="0"/>
            </w:tcBorders>
            <w:noWrap w:val="0"/>
            <w:vAlign w:val="center"/>
          </w:tcPr>
          <w:p w14:paraId="360EE9F9">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2020年</w:t>
            </w:r>
          </w:p>
        </w:tc>
        <w:tc>
          <w:tcPr>
            <w:tcW w:w="1276" w:type="dxa"/>
            <w:tcBorders>
              <w:top w:val="single" w:color="auto" w:sz="4" w:space="0"/>
              <w:left w:val="nil"/>
              <w:bottom w:val="single" w:color="auto" w:sz="4" w:space="0"/>
              <w:right w:val="single" w:color="auto" w:sz="4" w:space="0"/>
            </w:tcBorders>
            <w:noWrap w:val="0"/>
            <w:vAlign w:val="center"/>
          </w:tcPr>
          <w:p w14:paraId="6327A68D">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2025年</w:t>
            </w:r>
          </w:p>
        </w:tc>
        <w:tc>
          <w:tcPr>
            <w:tcW w:w="1139" w:type="dxa"/>
            <w:tcBorders>
              <w:top w:val="single" w:color="auto" w:sz="4" w:space="0"/>
              <w:left w:val="nil"/>
              <w:bottom w:val="single" w:color="auto" w:sz="4" w:space="0"/>
              <w:right w:val="single" w:color="auto" w:sz="4" w:space="0"/>
            </w:tcBorders>
            <w:noWrap w:val="0"/>
            <w:vAlign w:val="center"/>
          </w:tcPr>
          <w:p w14:paraId="12A81454">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属性</w:t>
            </w:r>
          </w:p>
        </w:tc>
      </w:tr>
      <w:tr w14:paraId="15D1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46" w:type="dxa"/>
            <w:vMerge w:val="restart"/>
            <w:tcBorders>
              <w:top w:val="single" w:color="auto" w:sz="4" w:space="0"/>
              <w:left w:val="single" w:color="auto" w:sz="4" w:space="0"/>
              <w:right w:val="single" w:color="auto" w:sz="4" w:space="0"/>
            </w:tcBorders>
            <w:noWrap w:val="0"/>
            <w:vAlign w:val="center"/>
          </w:tcPr>
          <w:p w14:paraId="1D9F68FA">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农</w:t>
            </w:r>
          </w:p>
          <w:p w14:paraId="359C91D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牧</w:t>
            </w:r>
          </w:p>
          <w:p w14:paraId="1B6F319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业</w:t>
            </w:r>
          </w:p>
          <w:p w14:paraId="7C546C3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现</w:t>
            </w:r>
          </w:p>
          <w:p w14:paraId="3743581A">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代</w:t>
            </w:r>
          </w:p>
          <w:p w14:paraId="07E02F96">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化</w:t>
            </w:r>
          </w:p>
        </w:tc>
        <w:tc>
          <w:tcPr>
            <w:tcW w:w="3402" w:type="dxa"/>
            <w:tcBorders>
              <w:top w:val="single" w:color="auto" w:sz="4" w:space="0"/>
              <w:left w:val="nil"/>
              <w:bottom w:val="single" w:color="auto" w:sz="4" w:space="0"/>
              <w:right w:val="single" w:color="auto" w:sz="4" w:space="0"/>
            </w:tcBorders>
            <w:noWrap w:val="0"/>
            <w:vAlign w:val="center"/>
          </w:tcPr>
          <w:p w14:paraId="4D4B59AF">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粮食综合生产能力</w:t>
            </w:r>
          </w:p>
        </w:tc>
        <w:tc>
          <w:tcPr>
            <w:tcW w:w="992" w:type="dxa"/>
            <w:tcBorders>
              <w:top w:val="single" w:color="auto" w:sz="4" w:space="0"/>
              <w:left w:val="nil"/>
              <w:bottom w:val="single" w:color="auto" w:sz="4" w:space="0"/>
              <w:right w:val="single" w:color="auto" w:sz="4" w:space="0"/>
            </w:tcBorders>
            <w:noWrap w:val="0"/>
            <w:vAlign w:val="center"/>
          </w:tcPr>
          <w:p w14:paraId="26E55851">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亿斤</w:t>
            </w:r>
          </w:p>
        </w:tc>
        <w:tc>
          <w:tcPr>
            <w:tcW w:w="1134" w:type="dxa"/>
            <w:tcBorders>
              <w:top w:val="single" w:color="auto" w:sz="4" w:space="0"/>
              <w:left w:val="nil"/>
              <w:bottom w:val="single" w:color="auto" w:sz="4" w:space="0"/>
              <w:right w:val="single" w:color="auto" w:sz="4" w:space="0"/>
            </w:tcBorders>
            <w:noWrap w:val="0"/>
            <w:vAlign w:val="center"/>
          </w:tcPr>
          <w:p w14:paraId="00BD188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≥100</w:t>
            </w:r>
          </w:p>
        </w:tc>
        <w:tc>
          <w:tcPr>
            <w:tcW w:w="1276" w:type="dxa"/>
            <w:tcBorders>
              <w:top w:val="single" w:color="auto" w:sz="4" w:space="0"/>
              <w:left w:val="nil"/>
              <w:bottom w:val="single" w:color="auto" w:sz="4" w:space="0"/>
              <w:right w:val="single" w:color="auto" w:sz="4" w:space="0"/>
            </w:tcBorders>
            <w:noWrap w:val="0"/>
            <w:vAlign w:val="center"/>
          </w:tcPr>
          <w:p w14:paraId="31104A4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≥100</w:t>
            </w:r>
          </w:p>
        </w:tc>
        <w:tc>
          <w:tcPr>
            <w:tcW w:w="1139" w:type="dxa"/>
            <w:tcBorders>
              <w:top w:val="single" w:color="auto" w:sz="4" w:space="0"/>
              <w:left w:val="nil"/>
              <w:bottom w:val="single" w:color="auto" w:sz="4" w:space="0"/>
              <w:right w:val="single" w:color="auto" w:sz="4" w:space="0"/>
            </w:tcBorders>
            <w:noWrap w:val="0"/>
            <w:vAlign w:val="center"/>
          </w:tcPr>
          <w:p w14:paraId="63340FB3">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约束性</w:t>
            </w:r>
          </w:p>
        </w:tc>
      </w:tr>
      <w:tr w14:paraId="52A7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46" w:type="dxa"/>
            <w:vMerge w:val="continue"/>
            <w:tcBorders>
              <w:left w:val="single" w:color="auto" w:sz="4" w:space="0"/>
              <w:right w:val="single" w:color="auto" w:sz="4" w:space="0"/>
            </w:tcBorders>
            <w:noWrap w:val="0"/>
            <w:vAlign w:val="center"/>
          </w:tcPr>
          <w:p w14:paraId="53B63288">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3D2EE5BC">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牲畜存栏</w:t>
            </w:r>
          </w:p>
        </w:tc>
        <w:tc>
          <w:tcPr>
            <w:tcW w:w="992" w:type="dxa"/>
            <w:tcBorders>
              <w:top w:val="single" w:color="auto" w:sz="4" w:space="0"/>
              <w:left w:val="nil"/>
              <w:bottom w:val="single" w:color="auto" w:sz="4" w:space="0"/>
              <w:right w:val="single" w:color="auto" w:sz="4" w:space="0"/>
            </w:tcBorders>
            <w:noWrap w:val="0"/>
            <w:vAlign w:val="center"/>
          </w:tcPr>
          <w:p w14:paraId="5B5B3C1D">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万头只</w:t>
            </w:r>
          </w:p>
        </w:tc>
        <w:tc>
          <w:tcPr>
            <w:tcW w:w="1134" w:type="dxa"/>
            <w:tcBorders>
              <w:top w:val="single" w:color="auto" w:sz="4" w:space="0"/>
              <w:left w:val="nil"/>
              <w:bottom w:val="single" w:color="auto" w:sz="4" w:space="0"/>
              <w:right w:val="single" w:color="auto" w:sz="4" w:space="0"/>
            </w:tcBorders>
            <w:noWrap w:val="0"/>
            <w:vAlign w:val="center"/>
          </w:tcPr>
          <w:p w14:paraId="59E8C397">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1906</w:t>
            </w:r>
          </w:p>
        </w:tc>
        <w:tc>
          <w:tcPr>
            <w:tcW w:w="1276" w:type="dxa"/>
            <w:tcBorders>
              <w:top w:val="single" w:color="auto" w:sz="4" w:space="0"/>
              <w:left w:val="nil"/>
              <w:bottom w:val="single" w:color="auto" w:sz="4" w:space="0"/>
              <w:right w:val="single" w:color="auto" w:sz="4" w:space="0"/>
            </w:tcBorders>
            <w:noWrap w:val="0"/>
            <w:vAlign w:val="center"/>
          </w:tcPr>
          <w:p w14:paraId="01DBA8F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2340</w:t>
            </w:r>
          </w:p>
        </w:tc>
        <w:tc>
          <w:tcPr>
            <w:tcW w:w="1139" w:type="dxa"/>
            <w:tcBorders>
              <w:top w:val="single" w:color="auto" w:sz="4" w:space="0"/>
              <w:left w:val="nil"/>
              <w:bottom w:val="single" w:color="auto" w:sz="4" w:space="0"/>
              <w:right w:val="single" w:color="auto" w:sz="4" w:space="0"/>
            </w:tcBorders>
            <w:noWrap w:val="0"/>
            <w:vAlign w:val="center"/>
          </w:tcPr>
          <w:p w14:paraId="5EBF0F2E">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0272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46" w:type="dxa"/>
            <w:vMerge w:val="continue"/>
            <w:tcBorders>
              <w:left w:val="single" w:color="auto" w:sz="4" w:space="0"/>
              <w:right w:val="single" w:color="auto" w:sz="4" w:space="0"/>
            </w:tcBorders>
            <w:noWrap w:val="0"/>
            <w:vAlign w:val="center"/>
          </w:tcPr>
          <w:p w14:paraId="64EA1993">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35DE4787">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农牧业科技进步贡献率</w:t>
            </w:r>
          </w:p>
        </w:tc>
        <w:tc>
          <w:tcPr>
            <w:tcW w:w="992" w:type="dxa"/>
            <w:tcBorders>
              <w:top w:val="single" w:color="auto" w:sz="4" w:space="0"/>
              <w:left w:val="nil"/>
              <w:bottom w:val="single" w:color="auto" w:sz="4" w:space="0"/>
              <w:right w:val="single" w:color="auto" w:sz="4" w:space="0"/>
            </w:tcBorders>
            <w:noWrap w:val="0"/>
            <w:vAlign w:val="center"/>
          </w:tcPr>
          <w:p w14:paraId="02F445F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4154416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59</w:t>
            </w:r>
          </w:p>
        </w:tc>
        <w:tc>
          <w:tcPr>
            <w:tcW w:w="1276" w:type="dxa"/>
            <w:tcBorders>
              <w:top w:val="single" w:color="auto" w:sz="4" w:space="0"/>
              <w:left w:val="nil"/>
              <w:bottom w:val="single" w:color="auto" w:sz="4" w:space="0"/>
              <w:right w:val="single" w:color="auto" w:sz="4" w:space="0"/>
            </w:tcBorders>
            <w:noWrap w:val="0"/>
            <w:vAlign w:val="center"/>
          </w:tcPr>
          <w:p w14:paraId="4B43E872">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62.5</w:t>
            </w:r>
          </w:p>
        </w:tc>
        <w:tc>
          <w:tcPr>
            <w:tcW w:w="1139" w:type="dxa"/>
            <w:tcBorders>
              <w:top w:val="single" w:color="auto" w:sz="4" w:space="0"/>
              <w:left w:val="nil"/>
              <w:bottom w:val="single" w:color="auto" w:sz="4" w:space="0"/>
              <w:right w:val="single" w:color="auto" w:sz="4" w:space="0"/>
            </w:tcBorders>
            <w:noWrap w:val="0"/>
            <w:vAlign w:val="center"/>
          </w:tcPr>
          <w:p w14:paraId="5575CA56">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4A84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46" w:type="dxa"/>
            <w:vMerge w:val="continue"/>
            <w:tcBorders>
              <w:left w:val="single" w:color="auto" w:sz="4" w:space="0"/>
              <w:right w:val="single" w:color="auto" w:sz="4" w:space="0"/>
            </w:tcBorders>
            <w:noWrap w:val="0"/>
            <w:vAlign w:val="center"/>
          </w:tcPr>
          <w:p w14:paraId="15584497">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1747057E">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农作物耕种收综合机械化水平</w:t>
            </w:r>
          </w:p>
        </w:tc>
        <w:tc>
          <w:tcPr>
            <w:tcW w:w="992" w:type="dxa"/>
            <w:tcBorders>
              <w:top w:val="single" w:color="auto" w:sz="4" w:space="0"/>
              <w:left w:val="nil"/>
              <w:bottom w:val="single" w:color="auto" w:sz="4" w:space="0"/>
              <w:right w:val="single" w:color="auto" w:sz="4" w:space="0"/>
            </w:tcBorders>
            <w:noWrap w:val="0"/>
            <w:vAlign w:val="center"/>
          </w:tcPr>
          <w:p w14:paraId="469F0960">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3067F18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81</w:t>
            </w:r>
          </w:p>
        </w:tc>
        <w:tc>
          <w:tcPr>
            <w:tcW w:w="1276" w:type="dxa"/>
            <w:tcBorders>
              <w:top w:val="single" w:color="auto" w:sz="4" w:space="0"/>
              <w:left w:val="nil"/>
              <w:bottom w:val="single" w:color="auto" w:sz="4" w:space="0"/>
              <w:right w:val="single" w:color="auto" w:sz="4" w:space="0"/>
            </w:tcBorders>
            <w:noWrap w:val="0"/>
            <w:vAlign w:val="center"/>
          </w:tcPr>
          <w:p w14:paraId="7B68B2E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85</w:t>
            </w:r>
            <w:r>
              <w:rPr>
                <w:rFonts w:ascii="仿宋_GB2312" w:eastAsia="仿宋_GB2312"/>
                <w:kern w:val="0"/>
                <w:sz w:val="24"/>
                <w:szCs w:val="28"/>
              </w:rPr>
              <w:t>.5</w:t>
            </w:r>
          </w:p>
        </w:tc>
        <w:tc>
          <w:tcPr>
            <w:tcW w:w="1139" w:type="dxa"/>
            <w:tcBorders>
              <w:top w:val="single" w:color="auto" w:sz="4" w:space="0"/>
              <w:left w:val="nil"/>
              <w:bottom w:val="single" w:color="auto" w:sz="4" w:space="0"/>
              <w:right w:val="single" w:color="auto" w:sz="4" w:space="0"/>
            </w:tcBorders>
            <w:noWrap w:val="0"/>
            <w:vAlign w:val="center"/>
          </w:tcPr>
          <w:p w14:paraId="458268F7">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39CF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46" w:type="dxa"/>
            <w:vMerge w:val="continue"/>
            <w:tcBorders>
              <w:left w:val="single" w:color="auto" w:sz="4" w:space="0"/>
              <w:right w:val="single" w:color="auto" w:sz="4" w:space="0"/>
            </w:tcBorders>
            <w:noWrap w:val="0"/>
            <w:vAlign w:val="center"/>
          </w:tcPr>
          <w:p w14:paraId="4706FC5C">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0EDFA837">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畜禽粪污综合利用率</w:t>
            </w:r>
          </w:p>
        </w:tc>
        <w:tc>
          <w:tcPr>
            <w:tcW w:w="992" w:type="dxa"/>
            <w:tcBorders>
              <w:top w:val="single" w:color="auto" w:sz="4" w:space="0"/>
              <w:left w:val="nil"/>
              <w:bottom w:val="single" w:color="auto" w:sz="4" w:space="0"/>
              <w:right w:val="single" w:color="auto" w:sz="4" w:space="0"/>
            </w:tcBorders>
            <w:noWrap w:val="0"/>
            <w:vAlign w:val="center"/>
          </w:tcPr>
          <w:p w14:paraId="601B487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3EF3CB15">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87</w:t>
            </w:r>
          </w:p>
        </w:tc>
        <w:tc>
          <w:tcPr>
            <w:tcW w:w="1276" w:type="dxa"/>
            <w:tcBorders>
              <w:top w:val="single" w:color="auto" w:sz="4" w:space="0"/>
              <w:left w:val="nil"/>
              <w:bottom w:val="single" w:color="auto" w:sz="4" w:space="0"/>
              <w:right w:val="single" w:color="auto" w:sz="4" w:space="0"/>
            </w:tcBorders>
            <w:noWrap w:val="0"/>
            <w:vAlign w:val="center"/>
          </w:tcPr>
          <w:p w14:paraId="20069282">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90</w:t>
            </w:r>
          </w:p>
        </w:tc>
        <w:tc>
          <w:tcPr>
            <w:tcW w:w="1139" w:type="dxa"/>
            <w:tcBorders>
              <w:top w:val="single" w:color="auto" w:sz="4" w:space="0"/>
              <w:left w:val="nil"/>
              <w:bottom w:val="single" w:color="auto" w:sz="4" w:space="0"/>
              <w:right w:val="single" w:color="auto" w:sz="4" w:space="0"/>
            </w:tcBorders>
            <w:noWrap w:val="0"/>
            <w:vAlign w:val="center"/>
          </w:tcPr>
          <w:p w14:paraId="55337814">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4644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continue"/>
            <w:tcBorders>
              <w:left w:val="single" w:color="auto" w:sz="4" w:space="0"/>
              <w:right w:val="single" w:color="auto" w:sz="4" w:space="0"/>
            </w:tcBorders>
            <w:noWrap w:val="0"/>
            <w:vAlign w:val="center"/>
          </w:tcPr>
          <w:p w14:paraId="6422BD7E">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3088AEE2">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农畜产品质量安全例行监测总体合格率</w:t>
            </w:r>
          </w:p>
        </w:tc>
        <w:tc>
          <w:tcPr>
            <w:tcW w:w="992" w:type="dxa"/>
            <w:tcBorders>
              <w:top w:val="single" w:color="auto" w:sz="4" w:space="0"/>
              <w:left w:val="nil"/>
              <w:bottom w:val="single" w:color="auto" w:sz="4" w:space="0"/>
              <w:right w:val="single" w:color="auto" w:sz="4" w:space="0"/>
            </w:tcBorders>
            <w:noWrap w:val="0"/>
            <w:vAlign w:val="center"/>
          </w:tcPr>
          <w:p w14:paraId="0E443E36">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79EA026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98</w:t>
            </w:r>
          </w:p>
        </w:tc>
        <w:tc>
          <w:tcPr>
            <w:tcW w:w="1276" w:type="dxa"/>
            <w:tcBorders>
              <w:top w:val="single" w:color="auto" w:sz="4" w:space="0"/>
              <w:left w:val="nil"/>
              <w:bottom w:val="single" w:color="auto" w:sz="4" w:space="0"/>
              <w:right w:val="single" w:color="auto" w:sz="4" w:space="0"/>
            </w:tcBorders>
            <w:noWrap w:val="0"/>
            <w:vAlign w:val="center"/>
          </w:tcPr>
          <w:p w14:paraId="6E4AE82F">
            <w:pPr>
              <w:widowControl/>
              <w:spacing w:line="300" w:lineRule="exact"/>
              <w:ind w:firstLine="240" w:firstLineChars="100"/>
              <w:rPr>
                <w:rFonts w:ascii="仿宋_GB2312" w:eastAsia="仿宋_GB2312"/>
                <w:kern w:val="0"/>
                <w:sz w:val="24"/>
                <w:szCs w:val="28"/>
              </w:rPr>
            </w:pPr>
            <w:r>
              <w:rPr>
                <w:rFonts w:hint="eastAsia" w:ascii="仿宋_GB2312" w:eastAsia="仿宋_GB2312"/>
                <w:kern w:val="0"/>
                <w:sz w:val="24"/>
                <w:szCs w:val="28"/>
              </w:rPr>
              <w:t>98.5</w:t>
            </w:r>
          </w:p>
        </w:tc>
        <w:tc>
          <w:tcPr>
            <w:tcW w:w="1139" w:type="dxa"/>
            <w:tcBorders>
              <w:top w:val="single" w:color="auto" w:sz="4" w:space="0"/>
              <w:left w:val="nil"/>
              <w:bottom w:val="single" w:color="auto" w:sz="4" w:space="0"/>
              <w:right w:val="single" w:color="auto" w:sz="4" w:space="0"/>
            </w:tcBorders>
            <w:noWrap w:val="0"/>
            <w:vAlign w:val="center"/>
          </w:tcPr>
          <w:p w14:paraId="631A2C5D">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349D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46" w:type="dxa"/>
            <w:vMerge w:val="continue"/>
            <w:tcBorders>
              <w:left w:val="single" w:color="auto" w:sz="4" w:space="0"/>
              <w:right w:val="single" w:color="auto" w:sz="4" w:space="0"/>
            </w:tcBorders>
            <w:noWrap w:val="0"/>
            <w:vAlign w:val="center"/>
          </w:tcPr>
          <w:p w14:paraId="74422B85">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30D2E260">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农畜产品加工与农牧业总产值比</w:t>
            </w:r>
          </w:p>
        </w:tc>
        <w:tc>
          <w:tcPr>
            <w:tcW w:w="992" w:type="dxa"/>
            <w:tcBorders>
              <w:top w:val="single" w:color="auto" w:sz="4" w:space="0"/>
              <w:left w:val="nil"/>
              <w:bottom w:val="single" w:color="auto" w:sz="4" w:space="0"/>
              <w:right w:val="single" w:color="auto" w:sz="4" w:space="0"/>
            </w:tcBorders>
            <w:noWrap w:val="0"/>
            <w:vAlign w:val="center"/>
          </w:tcPr>
          <w:p w14:paraId="4079ABE6">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18456950">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0.95</w:t>
            </w:r>
          </w:p>
        </w:tc>
        <w:tc>
          <w:tcPr>
            <w:tcW w:w="1276" w:type="dxa"/>
            <w:tcBorders>
              <w:top w:val="single" w:color="auto" w:sz="4" w:space="0"/>
              <w:left w:val="nil"/>
              <w:bottom w:val="single" w:color="auto" w:sz="4" w:space="0"/>
              <w:right w:val="single" w:color="auto" w:sz="4" w:space="0"/>
            </w:tcBorders>
            <w:noWrap w:val="0"/>
            <w:vAlign w:val="center"/>
          </w:tcPr>
          <w:p w14:paraId="1DE3A9D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1.8</w:t>
            </w:r>
          </w:p>
        </w:tc>
        <w:tc>
          <w:tcPr>
            <w:tcW w:w="1139" w:type="dxa"/>
            <w:tcBorders>
              <w:top w:val="single" w:color="auto" w:sz="4" w:space="0"/>
              <w:left w:val="nil"/>
              <w:bottom w:val="single" w:color="auto" w:sz="4" w:space="0"/>
              <w:right w:val="single" w:color="auto" w:sz="4" w:space="0"/>
            </w:tcBorders>
            <w:noWrap w:val="0"/>
            <w:vAlign w:val="center"/>
          </w:tcPr>
          <w:p w14:paraId="6915FD34">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6730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846" w:type="dxa"/>
            <w:vMerge w:val="continue"/>
            <w:tcBorders>
              <w:left w:val="single" w:color="auto" w:sz="4" w:space="0"/>
              <w:right w:val="single" w:color="auto" w:sz="4" w:space="0"/>
            </w:tcBorders>
            <w:noWrap w:val="0"/>
            <w:vAlign w:val="center"/>
          </w:tcPr>
          <w:p w14:paraId="596E0470">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468147D5">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农畜产品加工转化率</w:t>
            </w:r>
          </w:p>
        </w:tc>
        <w:tc>
          <w:tcPr>
            <w:tcW w:w="992" w:type="dxa"/>
            <w:tcBorders>
              <w:top w:val="single" w:color="auto" w:sz="4" w:space="0"/>
              <w:left w:val="nil"/>
              <w:bottom w:val="single" w:color="auto" w:sz="4" w:space="0"/>
              <w:right w:val="single" w:color="auto" w:sz="4" w:space="0"/>
            </w:tcBorders>
            <w:noWrap w:val="0"/>
            <w:vAlign w:val="center"/>
          </w:tcPr>
          <w:p w14:paraId="726574B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6B8D0EA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68.5</w:t>
            </w:r>
          </w:p>
        </w:tc>
        <w:tc>
          <w:tcPr>
            <w:tcW w:w="1276" w:type="dxa"/>
            <w:tcBorders>
              <w:top w:val="single" w:color="auto" w:sz="4" w:space="0"/>
              <w:left w:val="nil"/>
              <w:bottom w:val="single" w:color="auto" w:sz="4" w:space="0"/>
              <w:right w:val="single" w:color="auto" w:sz="4" w:space="0"/>
            </w:tcBorders>
            <w:noWrap w:val="0"/>
            <w:vAlign w:val="center"/>
          </w:tcPr>
          <w:p w14:paraId="21ADEF3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80</w:t>
            </w:r>
          </w:p>
        </w:tc>
        <w:tc>
          <w:tcPr>
            <w:tcW w:w="1139" w:type="dxa"/>
            <w:tcBorders>
              <w:top w:val="single" w:color="auto" w:sz="4" w:space="0"/>
              <w:left w:val="nil"/>
              <w:bottom w:val="single" w:color="auto" w:sz="4" w:space="0"/>
              <w:right w:val="single" w:color="auto" w:sz="4" w:space="0"/>
            </w:tcBorders>
            <w:noWrap w:val="0"/>
            <w:vAlign w:val="center"/>
          </w:tcPr>
          <w:p w14:paraId="7874BCE1">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04A0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46" w:type="dxa"/>
            <w:vMerge w:val="continue"/>
            <w:tcBorders>
              <w:left w:val="single" w:color="auto" w:sz="4" w:space="0"/>
              <w:right w:val="single" w:color="auto" w:sz="4" w:space="0"/>
            </w:tcBorders>
            <w:noWrap w:val="0"/>
            <w:vAlign w:val="center"/>
          </w:tcPr>
          <w:p w14:paraId="31F223BF">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7EF9E8A1">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高标准农田面积</w:t>
            </w:r>
          </w:p>
        </w:tc>
        <w:tc>
          <w:tcPr>
            <w:tcW w:w="992" w:type="dxa"/>
            <w:tcBorders>
              <w:top w:val="single" w:color="auto" w:sz="4" w:space="0"/>
              <w:left w:val="nil"/>
              <w:bottom w:val="single" w:color="auto" w:sz="4" w:space="0"/>
              <w:right w:val="single" w:color="auto" w:sz="4" w:space="0"/>
            </w:tcBorders>
            <w:noWrap w:val="0"/>
            <w:vAlign w:val="center"/>
          </w:tcPr>
          <w:p w14:paraId="129A42B2">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万亩</w:t>
            </w:r>
          </w:p>
        </w:tc>
        <w:tc>
          <w:tcPr>
            <w:tcW w:w="1134" w:type="dxa"/>
            <w:tcBorders>
              <w:top w:val="single" w:color="auto" w:sz="4" w:space="0"/>
              <w:left w:val="nil"/>
              <w:bottom w:val="single" w:color="auto" w:sz="4" w:space="0"/>
              <w:right w:val="single" w:color="auto" w:sz="4" w:space="0"/>
            </w:tcBorders>
            <w:noWrap w:val="0"/>
            <w:vAlign w:val="center"/>
          </w:tcPr>
          <w:p w14:paraId="5D22A73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100</w:t>
            </w:r>
          </w:p>
        </w:tc>
        <w:tc>
          <w:tcPr>
            <w:tcW w:w="1276" w:type="dxa"/>
            <w:tcBorders>
              <w:top w:val="single" w:color="auto" w:sz="4" w:space="0"/>
              <w:left w:val="nil"/>
              <w:bottom w:val="single" w:color="auto" w:sz="4" w:space="0"/>
              <w:right w:val="single" w:color="auto" w:sz="4" w:space="0"/>
            </w:tcBorders>
            <w:noWrap w:val="0"/>
            <w:vAlign w:val="center"/>
          </w:tcPr>
          <w:p w14:paraId="1DF70EC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480</w:t>
            </w:r>
          </w:p>
        </w:tc>
        <w:tc>
          <w:tcPr>
            <w:tcW w:w="1139" w:type="dxa"/>
            <w:tcBorders>
              <w:top w:val="single" w:color="auto" w:sz="4" w:space="0"/>
              <w:left w:val="nil"/>
              <w:bottom w:val="single" w:color="auto" w:sz="4" w:space="0"/>
              <w:right w:val="single" w:color="auto" w:sz="4" w:space="0"/>
            </w:tcBorders>
            <w:noWrap w:val="0"/>
            <w:vAlign w:val="center"/>
          </w:tcPr>
          <w:p w14:paraId="31E5811D">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约束性</w:t>
            </w:r>
          </w:p>
        </w:tc>
      </w:tr>
      <w:tr w14:paraId="728C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46" w:type="dxa"/>
            <w:vMerge w:val="restart"/>
            <w:tcBorders>
              <w:top w:val="single" w:color="auto" w:sz="4" w:space="0"/>
              <w:left w:val="single" w:color="auto" w:sz="4" w:space="0"/>
              <w:right w:val="single" w:color="auto" w:sz="4" w:space="0"/>
            </w:tcBorders>
            <w:noWrap w:val="0"/>
            <w:vAlign w:val="center"/>
          </w:tcPr>
          <w:p w14:paraId="3CEA5389">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农</w:t>
            </w:r>
          </w:p>
          <w:p w14:paraId="0883F180">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村</w:t>
            </w:r>
          </w:p>
          <w:p w14:paraId="46F146A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牧</w:t>
            </w:r>
          </w:p>
          <w:p w14:paraId="5FFA6CE2">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区</w:t>
            </w:r>
          </w:p>
          <w:p w14:paraId="0A64772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现</w:t>
            </w:r>
          </w:p>
          <w:p w14:paraId="249FC3A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代</w:t>
            </w:r>
          </w:p>
          <w:p w14:paraId="0C2B20F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化</w:t>
            </w:r>
          </w:p>
        </w:tc>
        <w:tc>
          <w:tcPr>
            <w:tcW w:w="3402" w:type="dxa"/>
            <w:tcBorders>
              <w:top w:val="single" w:color="auto" w:sz="4" w:space="0"/>
              <w:left w:val="nil"/>
              <w:bottom w:val="single" w:color="auto" w:sz="4" w:space="0"/>
              <w:right w:val="single" w:color="auto" w:sz="4" w:space="0"/>
            </w:tcBorders>
            <w:noWrap w:val="0"/>
            <w:vAlign w:val="center"/>
          </w:tcPr>
          <w:p w14:paraId="7022366A">
            <w:pPr>
              <w:widowControl/>
              <w:spacing w:line="300" w:lineRule="exact"/>
              <w:rPr>
                <w:rFonts w:ascii="仿宋_GB2312" w:eastAsia="仿宋_GB2312"/>
                <w:kern w:val="0"/>
                <w:sz w:val="24"/>
                <w:szCs w:val="28"/>
              </w:rPr>
            </w:pPr>
            <w:r>
              <w:rPr>
                <w:rFonts w:hint="eastAsia" w:ascii="仿宋_GB2312" w:eastAsia="仿宋_GB2312"/>
                <w:kern w:val="0"/>
                <w:sz w:val="24"/>
                <w:szCs w:val="28"/>
              </w:rPr>
              <w:t>农村牧区自来水普及率</w:t>
            </w:r>
          </w:p>
        </w:tc>
        <w:tc>
          <w:tcPr>
            <w:tcW w:w="992" w:type="dxa"/>
            <w:tcBorders>
              <w:top w:val="single" w:color="auto" w:sz="4" w:space="0"/>
              <w:left w:val="nil"/>
              <w:bottom w:val="single" w:color="auto" w:sz="4" w:space="0"/>
              <w:right w:val="single" w:color="auto" w:sz="4" w:space="0"/>
            </w:tcBorders>
            <w:noWrap w:val="0"/>
            <w:vAlign w:val="center"/>
          </w:tcPr>
          <w:p w14:paraId="6AC318A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64EB2EE5">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82</w:t>
            </w:r>
          </w:p>
        </w:tc>
        <w:tc>
          <w:tcPr>
            <w:tcW w:w="1276" w:type="dxa"/>
            <w:tcBorders>
              <w:top w:val="single" w:color="auto" w:sz="4" w:space="0"/>
              <w:left w:val="nil"/>
              <w:bottom w:val="single" w:color="auto" w:sz="4" w:space="0"/>
              <w:right w:val="single" w:color="auto" w:sz="4" w:space="0"/>
            </w:tcBorders>
            <w:noWrap w:val="0"/>
            <w:vAlign w:val="center"/>
          </w:tcPr>
          <w:p w14:paraId="75A85242">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＞82</w:t>
            </w:r>
          </w:p>
        </w:tc>
        <w:tc>
          <w:tcPr>
            <w:tcW w:w="1139" w:type="dxa"/>
            <w:tcBorders>
              <w:top w:val="single" w:color="auto" w:sz="4" w:space="0"/>
              <w:left w:val="nil"/>
              <w:bottom w:val="single" w:color="auto" w:sz="4" w:space="0"/>
              <w:right w:val="single" w:color="auto" w:sz="4" w:space="0"/>
            </w:tcBorders>
            <w:noWrap w:val="0"/>
            <w:vAlign w:val="center"/>
          </w:tcPr>
          <w:p w14:paraId="0BC492F3">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2D12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46" w:type="dxa"/>
            <w:vMerge w:val="continue"/>
            <w:tcBorders>
              <w:left w:val="single" w:color="auto" w:sz="4" w:space="0"/>
              <w:right w:val="single" w:color="auto" w:sz="4" w:space="0"/>
            </w:tcBorders>
            <w:noWrap w:val="0"/>
            <w:vAlign w:val="center"/>
          </w:tcPr>
          <w:p w14:paraId="5AF26186">
            <w:pPr>
              <w:widowControl/>
              <w:spacing w:line="300" w:lineRule="exact"/>
              <w:ind w:firstLine="480" w:firstLineChars="200"/>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575470CA">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对生活垃圾进行处理的嘎查村占比</w:t>
            </w:r>
          </w:p>
        </w:tc>
        <w:tc>
          <w:tcPr>
            <w:tcW w:w="992" w:type="dxa"/>
            <w:tcBorders>
              <w:top w:val="single" w:color="auto" w:sz="4" w:space="0"/>
              <w:left w:val="nil"/>
              <w:bottom w:val="single" w:color="auto" w:sz="4" w:space="0"/>
              <w:right w:val="single" w:color="auto" w:sz="4" w:space="0"/>
            </w:tcBorders>
            <w:noWrap w:val="0"/>
            <w:vAlign w:val="center"/>
          </w:tcPr>
          <w:p w14:paraId="6A521D8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7E7A0C7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90</w:t>
            </w:r>
          </w:p>
        </w:tc>
        <w:tc>
          <w:tcPr>
            <w:tcW w:w="1276" w:type="dxa"/>
            <w:tcBorders>
              <w:top w:val="single" w:color="auto" w:sz="4" w:space="0"/>
              <w:left w:val="nil"/>
              <w:bottom w:val="single" w:color="auto" w:sz="4" w:space="0"/>
              <w:right w:val="single" w:color="auto" w:sz="4" w:space="0"/>
            </w:tcBorders>
            <w:noWrap w:val="0"/>
            <w:vAlign w:val="center"/>
          </w:tcPr>
          <w:p w14:paraId="4C7D6FA6">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＞90</w:t>
            </w:r>
          </w:p>
        </w:tc>
        <w:tc>
          <w:tcPr>
            <w:tcW w:w="1139" w:type="dxa"/>
            <w:tcBorders>
              <w:top w:val="single" w:color="auto" w:sz="4" w:space="0"/>
              <w:left w:val="nil"/>
              <w:bottom w:val="single" w:color="auto" w:sz="4" w:space="0"/>
              <w:right w:val="single" w:color="auto" w:sz="4" w:space="0"/>
            </w:tcBorders>
            <w:noWrap w:val="0"/>
            <w:vAlign w:val="center"/>
          </w:tcPr>
          <w:p w14:paraId="3575E8CE">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1C90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846" w:type="dxa"/>
            <w:vMerge w:val="continue"/>
            <w:tcBorders>
              <w:left w:val="single" w:color="auto" w:sz="4" w:space="0"/>
              <w:right w:val="single" w:color="auto" w:sz="4" w:space="0"/>
            </w:tcBorders>
            <w:noWrap w:val="0"/>
            <w:vAlign w:val="center"/>
          </w:tcPr>
          <w:p w14:paraId="1D9A7D4F">
            <w:pPr>
              <w:widowControl/>
              <w:spacing w:line="300" w:lineRule="exact"/>
              <w:ind w:firstLine="480" w:firstLineChars="200"/>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7BA3293A">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农村牧区卫生厕所普及率</w:t>
            </w:r>
          </w:p>
        </w:tc>
        <w:tc>
          <w:tcPr>
            <w:tcW w:w="992" w:type="dxa"/>
            <w:tcBorders>
              <w:top w:val="single" w:color="auto" w:sz="4" w:space="0"/>
              <w:left w:val="nil"/>
              <w:bottom w:val="single" w:color="auto" w:sz="4" w:space="0"/>
              <w:right w:val="single" w:color="auto" w:sz="4" w:space="0"/>
            </w:tcBorders>
            <w:noWrap w:val="0"/>
            <w:vAlign w:val="center"/>
          </w:tcPr>
          <w:p w14:paraId="713FF62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5B2807A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32.17</w:t>
            </w:r>
          </w:p>
        </w:tc>
        <w:tc>
          <w:tcPr>
            <w:tcW w:w="1276" w:type="dxa"/>
            <w:tcBorders>
              <w:top w:val="single" w:color="auto" w:sz="4" w:space="0"/>
              <w:left w:val="nil"/>
              <w:bottom w:val="single" w:color="auto" w:sz="4" w:space="0"/>
              <w:right w:val="single" w:color="auto" w:sz="4" w:space="0"/>
            </w:tcBorders>
            <w:noWrap w:val="0"/>
            <w:vAlign w:val="center"/>
          </w:tcPr>
          <w:p w14:paraId="1858D9D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＞53</w:t>
            </w:r>
          </w:p>
        </w:tc>
        <w:tc>
          <w:tcPr>
            <w:tcW w:w="1139" w:type="dxa"/>
            <w:tcBorders>
              <w:top w:val="single" w:color="auto" w:sz="4" w:space="0"/>
              <w:left w:val="nil"/>
              <w:bottom w:val="single" w:color="auto" w:sz="4" w:space="0"/>
              <w:right w:val="single" w:color="auto" w:sz="4" w:space="0"/>
            </w:tcBorders>
            <w:noWrap w:val="0"/>
            <w:vAlign w:val="center"/>
          </w:tcPr>
          <w:p w14:paraId="094DCB63">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75B7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46" w:type="dxa"/>
            <w:vMerge w:val="continue"/>
            <w:tcBorders>
              <w:left w:val="single" w:color="auto" w:sz="4" w:space="0"/>
              <w:right w:val="single" w:color="auto" w:sz="4" w:space="0"/>
            </w:tcBorders>
            <w:noWrap w:val="0"/>
            <w:vAlign w:val="center"/>
          </w:tcPr>
          <w:p w14:paraId="4C4C6A44">
            <w:pPr>
              <w:widowControl/>
              <w:spacing w:line="300" w:lineRule="exact"/>
              <w:ind w:firstLine="480" w:firstLineChars="200"/>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3AEE1537">
            <w:pPr>
              <w:widowControl/>
              <w:spacing w:line="300" w:lineRule="exact"/>
              <w:rPr>
                <w:rFonts w:ascii="仿宋_GB2312" w:eastAsia="仿宋_GB2312"/>
                <w:kern w:val="0"/>
                <w:sz w:val="24"/>
                <w:szCs w:val="28"/>
              </w:rPr>
            </w:pPr>
            <w:r>
              <w:rPr>
                <w:rFonts w:hint="eastAsia" w:ascii="仿宋_GB2312" w:eastAsia="仿宋_GB2312"/>
                <w:kern w:val="0"/>
                <w:sz w:val="24"/>
                <w:szCs w:val="28"/>
              </w:rPr>
              <w:t>建制嘎查村通硬化路占比</w:t>
            </w:r>
          </w:p>
        </w:tc>
        <w:tc>
          <w:tcPr>
            <w:tcW w:w="992" w:type="dxa"/>
            <w:tcBorders>
              <w:top w:val="single" w:color="auto" w:sz="4" w:space="0"/>
              <w:left w:val="nil"/>
              <w:bottom w:val="single" w:color="auto" w:sz="4" w:space="0"/>
              <w:right w:val="single" w:color="auto" w:sz="4" w:space="0"/>
            </w:tcBorders>
            <w:noWrap w:val="0"/>
            <w:vAlign w:val="center"/>
          </w:tcPr>
          <w:p w14:paraId="5A5DA433">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48FF4FB1">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95</w:t>
            </w:r>
          </w:p>
        </w:tc>
        <w:tc>
          <w:tcPr>
            <w:tcW w:w="1276" w:type="dxa"/>
            <w:tcBorders>
              <w:top w:val="single" w:color="auto" w:sz="4" w:space="0"/>
              <w:left w:val="nil"/>
              <w:bottom w:val="single" w:color="auto" w:sz="4" w:space="0"/>
              <w:right w:val="single" w:color="auto" w:sz="4" w:space="0"/>
            </w:tcBorders>
            <w:noWrap w:val="0"/>
            <w:vAlign w:val="center"/>
          </w:tcPr>
          <w:p w14:paraId="2EB2058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98</w:t>
            </w:r>
          </w:p>
        </w:tc>
        <w:tc>
          <w:tcPr>
            <w:tcW w:w="1139" w:type="dxa"/>
            <w:tcBorders>
              <w:top w:val="single" w:color="auto" w:sz="4" w:space="0"/>
              <w:left w:val="nil"/>
              <w:bottom w:val="single" w:color="auto" w:sz="4" w:space="0"/>
              <w:right w:val="single" w:color="auto" w:sz="4" w:space="0"/>
            </w:tcBorders>
            <w:noWrap w:val="0"/>
            <w:vAlign w:val="center"/>
          </w:tcPr>
          <w:p w14:paraId="192BCC58">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54F9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46" w:type="dxa"/>
            <w:vMerge w:val="restart"/>
            <w:tcBorders>
              <w:top w:val="single" w:color="auto" w:sz="4" w:space="0"/>
              <w:left w:val="single" w:color="auto" w:sz="4" w:space="0"/>
              <w:right w:val="single" w:color="auto" w:sz="4" w:space="0"/>
            </w:tcBorders>
            <w:noWrap w:val="0"/>
            <w:vAlign w:val="center"/>
          </w:tcPr>
          <w:p w14:paraId="102E9C4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农牧</w:t>
            </w:r>
          </w:p>
          <w:p w14:paraId="1F31BD62">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民富</w:t>
            </w:r>
          </w:p>
          <w:p w14:paraId="32442C30">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裕富</w:t>
            </w:r>
          </w:p>
          <w:p w14:paraId="4F7B3083">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足</w:t>
            </w:r>
          </w:p>
        </w:tc>
        <w:tc>
          <w:tcPr>
            <w:tcW w:w="3402" w:type="dxa"/>
            <w:tcBorders>
              <w:top w:val="single" w:color="auto" w:sz="4" w:space="0"/>
              <w:left w:val="nil"/>
              <w:bottom w:val="single" w:color="auto" w:sz="4" w:space="0"/>
              <w:right w:val="single" w:color="auto" w:sz="4" w:space="0"/>
            </w:tcBorders>
            <w:noWrap w:val="0"/>
            <w:vAlign w:val="center"/>
          </w:tcPr>
          <w:p w14:paraId="2929B572">
            <w:pPr>
              <w:widowControl/>
              <w:spacing w:line="300" w:lineRule="exact"/>
              <w:rPr>
                <w:rFonts w:ascii="仿宋_GB2312" w:eastAsia="仿宋_GB2312"/>
                <w:kern w:val="0"/>
                <w:sz w:val="24"/>
                <w:szCs w:val="28"/>
                <w:highlight w:val="yellow"/>
              </w:rPr>
            </w:pPr>
            <w:r>
              <w:rPr>
                <w:rFonts w:hint="eastAsia" w:ascii="仿宋_GB2312" w:eastAsia="仿宋_GB2312"/>
                <w:kern w:val="0"/>
                <w:sz w:val="24"/>
                <w:szCs w:val="28"/>
              </w:rPr>
              <w:t>农牧民人均可支配收入</w:t>
            </w:r>
          </w:p>
        </w:tc>
        <w:tc>
          <w:tcPr>
            <w:tcW w:w="992" w:type="dxa"/>
            <w:tcBorders>
              <w:top w:val="single" w:color="auto" w:sz="4" w:space="0"/>
              <w:left w:val="nil"/>
              <w:bottom w:val="single" w:color="auto" w:sz="4" w:space="0"/>
              <w:right w:val="single" w:color="auto" w:sz="4" w:space="0"/>
            </w:tcBorders>
            <w:noWrap w:val="0"/>
            <w:vAlign w:val="center"/>
          </w:tcPr>
          <w:p w14:paraId="3867B7F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万元</w:t>
            </w:r>
          </w:p>
        </w:tc>
        <w:tc>
          <w:tcPr>
            <w:tcW w:w="1134" w:type="dxa"/>
            <w:tcBorders>
              <w:top w:val="single" w:color="auto" w:sz="4" w:space="0"/>
              <w:left w:val="nil"/>
              <w:bottom w:val="single" w:color="auto" w:sz="4" w:space="0"/>
              <w:right w:val="single" w:color="auto" w:sz="4" w:space="0"/>
            </w:tcBorders>
            <w:noWrap w:val="0"/>
            <w:vAlign w:val="center"/>
          </w:tcPr>
          <w:p w14:paraId="77F7AF90">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1.37</w:t>
            </w:r>
          </w:p>
        </w:tc>
        <w:tc>
          <w:tcPr>
            <w:tcW w:w="1276" w:type="dxa"/>
            <w:tcBorders>
              <w:top w:val="single" w:color="auto" w:sz="4" w:space="0"/>
              <w:left w:val="nil"/>
              <w:bottom w:val="single" w:color="auto" w:sz="4" w:space="0"/>
              <w:right w:val="single" w:color="auto" w:sz="4" w:space="0"/>
            </w:tcBorders>
            <w:noWrap w:val="0"/>
            <w:vAlign w:val="center"/>
          </w:tcPr>
          <w:p w14:paraId="0443B1BD">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1.97</w:t>
            </w:r>
          </w:p>
        </w:tc>
        <w:tc>
          <w:tcPr>
            <w:tcW w:w="1139" w:type="dxa"/>
            <w:tcBorders>
              <w:top w:val="single" w:color="auto" w:sz="4" w:space="0"/>
              <w:left w:val="nil"/>
              <w:bottom w:val="single" w:color="auto" w:sz="4" w:space="0"/>
              <w:right w:val="single" w:color="auto" w:sz="4" w:space="0"/>
            </w:tcBorders>
            <w:noWrap w:val="0"/>
            <w:vAlign w:val="center"/>
          </w:tcPr>
          <w:p w14:paraId="4A331E03">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4C13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846" w:type="dxa"/>
            <w:vMerge w:val="continue"/>
            <w:tcBorders>
              <w:left w:val="single" w:color="auto" w:sz="4" w:space="0"/>
              <w:right w:val="single" w:color="auto" w:sz="4" w:space="0"/>
            </w:tcBorders>
            <w:noWrap w:val="0"/>
            <w:vAlign w:val="center"/>
          </w:tcPr>
          <w:p w14:paraId="7FED6AEB">
            <w:pPr>
              <w:spacing w:line="300" w:lineRule="exact"/>
              <w:ind w:firstLine="480" w:firstLineChars="200"/>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42337C94">
            <w:pPr>
              <w:spacing w:line="300" w:lineRule="exact"/>
              <w:rPr>
                <w:rFonts w:ascii="仿宋_GB2312" w:eastAsia="仿宋_GB2312"/>
                <w:kern w:val="0"/>
                <w:sz w:val="24"/>
                <w:szCs w:val="28"/>
                <w:highlight w:val="yellow"/>
              </w:rPr>
            </w:pPr>
            <w:r>
              <w:rPr>
                <w:rFonts w:hint="eastAsia" w:ascii="仿宋_GB2312" w:eastAsia="仿宋_GB2312"/>
                <w:kern w:val="0"/>
                <w:sz w:val="24"/>
                <w:szCs w:val="28"/>
              </w:rPr>
              <w:t>城乡居民收入比</w:t>
            </w:r>
          </w:p>
        </w:tc>
        <w:tc>
          <w:tcPr>
            <w:tcW w:w="992" w:type="dxa"/>
            <w:tcBorders>
              <w:top w:val="single" w:color="auto" w:sz="4" w:space="0"/>
              <w:left w:val="nil"/>
              <w:bottom w:val="single" w:color="auto" w:sz="4" w:space="0"/>
              <w:right w:val="single" w:color="auto" w:sz="4" w:space="0"/>
            </w:tcBorders>
            <w:noWrap w:val="0"/>
            <w:vAlign w:val="center"/>
          </w:tcPr>
          <w:p w14:paraId="05C71C7E">
            <w:pPr>
              <w:spacing w:line="300" w:lineRule="exact"/>
              <w:ind w:firstLine="240" w:firstLineChars="100"/>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6EECF194">
            <w:pPr>
              <w:spacing w:line="300" w:lineRule="exact"/>
              <w:jc w:val="center"/>
              <w:rPr>
                <w:rFonts w:ascii="仿宋_GB2312" w:eastAsia="仿宋_GB2312"/>
                <w:kern w:val="0"/>
                <w:sz w:val="24"/>
                <w:szCs w:val="28"/>
              </w:rPr>
            </w:pPr>
            <w:r>
              <w:rPr>
                <w:rFonts w:hint="eastAsia" w:ascii="仿宋_GB2312" w:eastAsia="仿宋_GB2312"/>
                <w:kern w:val="0"/>
                <w:sz w:val="24"/>
                <w:szCs w:val="28"/>
              </w:rPr>
              <w:t>2.53</w:t>
            </w:r>
          </w:p>
        </w:tc>
        <w:tc>
          <w:tcPr>
            <w:tcW w:w="1276" w:type="dxa"/>
            <w:tcBorders>
              <w:top w:val="single" w:color="auto" w:sz="4" w:space="0"/>
              <w:left w:val="nil"/>
              <w:bottom w:val="single" w:color="auto" w:sz="4" w:space="0"/>
              <w:right w:val="single" w:color="auto" w:sz="4" w:space="0"/>
            </w:tcBorders>
            <w:noWrap w:val="0"/>
            <w:vAlign w:val="center"/>
          </w:tcPr>
          <w:p w14:paraId="5E00D2B2">
            <w:pPr>
              <w:spacing w:line="300" w:lineRule="exact"/>
              <w:jc w:val="center"/>
              <w:rPr>
                <w:rFonts w:ascii="仿宋_GB2312" w:eastAsia="仿宋_GB2312"/>
                <w:kern w:val="0"/>
                <w:sz w:val="24"/>
                <w:szCs w:val="28"/>
              </w:rPr>
            </w:pPr>
            <w:r>
              <w:rPr>
                <w:rFonts w:hint="eastAsia" w:ascii="仿宋_GB2312" w:eastAsia="仿宋_GB2312"/>
                <w:kern w:val="0"/>
                <w:sz w:val="24"/>
                <w:szCs w:val="28"/>
              </w:rPr>
              <w:t>2.4</w:t>
            </w:r>
          </w:p>
        </w:tc>
        <w:tc>
          <w:tcPr>
            <w:tcW w:w="1139" w:type="dxa"/>
            <w:tcBorders>
              <w:top w:val="single" w:color="auto" w:sz="4" w:space="0"/>
              <w:left w:val="nil"/>
              <w:bottom w:val="single" w:color="auto" w:sz="4" w:space="0"/>
              <w:right w:val="single" w:color="auto" w:sz="4" w:space="0"/>
            </w:tcBorders>
            <w:noWrap w:val="0"/>
            <w:vAlign w:val="center"/>
          </w:tcPr>
          <w:p w14:paraId="27277BDD">
            <w:pPr>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bl>
    <w:p w14:paraId="061FD23F">
      <w:pPr>
        <w:spacing w:line="20" w:lineRule="exact"/>
        <w:rPr>
          <w:rFonts w:ascii="仿宋_GB2312" w:hAnsi="仿宋_GB2312" w:eastAsia="仿宋_GB2312" w:cs="仿宋_GB2312"/>
          <w:kern w:val="0"/>
          <w:sz w:val="32"/>
          <w:szCs w:val="32"/>
        </w:rPr>
      </w:pPr>
    </w:p>
    <w:p w14:paraId="2442409A">
      <w:pPr>
        <w:spacing w:line="560" w:lineRule="exact"/>
        <w:ind w:firstLine="640" w:firstLineChars="200"/>
        <w:jc w:val="center"/>
        <w:outlineLvl w:val="0"/>
        <w:rPr>
          <w:rFonts w:ascii="黑体" w:hAnsi="黑体" w:eastAsia="黑体" w:cs="黑体"/>
          <w:kern w:val="0"/>
          <w:sz w:val="32"/>
          <w:szCs w:val="36"/>
        </w:rPr>
      </w:pPr>
      <w:bookmarkStart w:id="10" w:name="_Toc22584"/>
      <w:bookmarkStart w:id="11" w:name="_Toc94087857"/>
    </w:p>
    <w:p w14:paraId="6B013F99">
      <w:pPr>
        <w:spacing w:line="560" w:lineRule="exact"/>
        <w:ind w:firstLine="640" w:firstLineChars="200"/>
        <w:jc w:val="center"/>
        <w:outlineLvl w:val="0"/>
        <w:rPr>
          <w:rFonts w:ascii="黑体" w:hAnsi="黑体" w:eastAsia="黑体" w:cs="黑体"/>
          <w:kern w:val="0"/>
          <w:sz w:val="32"/>
          <w:szCs w:val="36"/>
        </w:rPr>
      </w:pPr>
      <w:r>
        <w:rPr>
          <w:rFonts w:hint="eastAsia" w:ascii="黑体" w:hAnsi="黑体" w:eastAsia="黑体" w:cs="黑体"/>
          <w:kern w:val="0"/>
          <w:sz w:val="32"/>
          <w:szCs w:val="36"/>
        </w:rPr>
        <w:t>第二章 加快推进农牧业现代化建设</w:t>
      </w:r>
      <w:bookmarkEnd w:id="10"/>
      <w:bookmarkEnd w:id="11"/>
    </w:p>
    <w:p w14:paraId="68AC9173">
      <w:pPr>
        <w:spacing w:line="560" w:lineRule="exact"/>
        <w:ind w:firstLine="640" w:firstLineChars="200"/>
        <w:rPr>
          <w:rFonts w:ascii="黑体" w:hAnsi="黑体" w:eastAsia="黑体" w:cs="黑体"/>
          <w:kern w:val="0"/>
          <w:sz w:val="32"/>
          <w:szCs w:val="32"/>
        </w:rPr>
      </w:pPr>
    </w:p>
    <w:p w14:paraId="65E883F6">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第一节 提升粮食等重要农畜产品供给保障水平</w:t>
      </w:r>
    </w:p>
    <w:p w14:paraId="657EC0A2">
      <w:pPr>
        <w:spacing w:line="560" w:lineRule="exact"/>
        <w:ind w:left="640"/>
        <w:outlineLvl w:val="1"/>
        <w:rPr>
          <w:rFonts w:ascii="楷体_GB2312" w:hAnsi="楷体_GB2312" w:eastAsia="楷体_GB2312" w:cs="楷体_GB2312"/>
          <w:bCs/>
          <w:kern w:val="0"/>
          <w:sz w:val="32"/>
          <w:szCs w:val="32"/>
        </w:rPr>
      </w:pPr>
    </w:p>
    <w:p w14:paraId="36254A47">
      <w:pPr>
        <w:spacing w:line="560" w:lineRule="exact"/>
        <w:ind w:firstLine="640" w:firstLineChars="200"/>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1.巩固和提升粮食产能。</w:t>
      </w:r>
      <w:r>
        <w:rPr>
          <w:rFonts w:hint="eastAsia" w:ascii="仿宋_GB2312" w:hAnsi="仿宋" w:eastAsia="仿宋_GB2312"/>
          <w:sz w:val="32"/>
        </w:rPr>
        <w:t>深入实施重要农产品保障战略，坚持党政同责，扛起粮食安全的政治责任。严格落实粮食安全分级责任制和“菜篮子”市长负责制，</w:t>
      </w:r>
      <w:r>
        <w:rPr>
          <w:rFonts w:hint="eastAsia" w:ascii="仿宋_GB2312" w:hAnsi="仿宋" w:eastAsia="仿宋_GB2312" w:cs="仿宋_GB2312"/>
          <w:kern w:val="0"/>
          <w:sz w:val="32"/>
          <w:szCs w:val="32"/>
        </w:rPr>
        <w:t>落实各项惠农政策，充分调动主要产粮旗县和农牧民种粮积极性</w:t>
      </w:r>
      <w:r>
        <w:rPr>
          <w:rFonts w:hint="eastAsia" w:ascii="仿宋_GB2312" w:hAnsi="仿宋" w:eastAsia="仿宋_GB2312"/>
          <w:sz w:val="32"/>
        </w:rPr>
        <w:t>。</w:t>
      </w:r>
      <w:r>
        <w:rPr>
          <w:rFonts w:hint="eastAsia" w:ascii="仿宋_GB2312" w:hAnsi="仿宋" w:eastAsia="仿宋_GB2312" w:cs="仿宋_GB2312"/>
          <w:kern w:val="0"/>
          <w:sz w:val="32"/>
          <w:szCs w:val="32"/>
        </w:rPr>
        <w:t>实施藏粮于地、藏粮于技战略，全面落实永久基本农田特殊保护制度，加强粮食生产功能区、重要农畜产品生产保护区和特色农产品优势区建设。坚决遏制耕地“非农化”，</w:t>
      </w:r>
      <w:r>
        <w:rPr>
          <w:rFonts w:hint="eastAsia" w:ascii="仿宋_GB2312" w:hAnsi="仿宋" w:eastAsia="仿宋_GB2312"/>
          <w:sz w:val="32"/>
        </w:rPr>
        <w:t>严格管控“非粮化”</w:t>
      </w:r>
      <w:r>
        <w:rPr>
          <w:rFonts w:hint="eastAsia" w:ascii="仿宋_GB2312" w:hAnsi="仿宋" w:eastAsia="仿宋_GB2312" w:cs="仿宋_GB2312"/>
          <w:kern w:val="0"/>
          <w:sz w:val="32"/>
          <w:szCs w:val="32"/>
        </w:rPr>
        <w:t>，稳定粮食播种面积，巩固提升粮食生产能力。全力推动以高效节水为核心的高标准农田建设和旱作水平梯田建设，提升耕地质量，大力推广节水、耐旱、抗逆性强的农作物品种，</w:t>
      </w:r>
      <w:r>
        <w:rPr>
          <w:rFonts w:hint="eastAsia" w:ascii="仿宋_GB2312" w:hAnsi="仿宋" w:eastAsia="仿宋_GB2312"/>
          <w:spacing w:val="-6"/>
          <w:sz w:val="32"/>
        </w:rPr>
        <w:t>提高水资源利用效率，</w:t>
      </w:r>
      <w:r>
        <w:rPr>
          <w:rFonts w:hint="eastAsia" w:ascii="仿宋_GB2312" w:hAnsi="仿宋" w:eastAsia="仿宋_GB2312" w:cs="仿宋_GB2312"/>
          <w:kern w:val="0"/>
          <w:sz w:val="32"/>
          <w:szCs w:val="32"/>
        </w:rPr>
        <w:t>有效缓解粮食主产区缺水矛盾。强化现代种业、智慧农牧业、农机装备等关键性技术的研发和利用。加快建立公益性服务与经营性服务相结合的农牧业科技推广服务体系。开展粮食绿色高产高效创建活动，集成运用测土配方施肥、水肥一体化、节水灌溉、秸秆还田、统防统治、精准施肥施药等控水控肥控药新技术，构建科技含量高、资源消耗低、环境污染少的绿色高产高效粮食生产技术体系。“十四五”期间，全市粮食播种面积稳定在1670万亩以上，粮食综合生产能力达到100亿斤以上。</w:t>
      </w:r>
    </w:p>
    <w:p w14:paraId="46CE8073">
      <w:pPr>
        <w:spacing w:line="560" w:lineRule="exact"/>
        <w:ind w:firstLine="640" w:firstLineChars="200"/>
        <w:rPr>
          <w:rFonts w:ascii="仿宋_GB2312" w:hAnsi="仿宋" w:eastAsia="仿宋_GB2312"/>
          <w:sz w:val="32"/>
        </w:rPr>
      </w:pPr>
      <w:r>
        <w:rPr>
          <w:rFonts w:hint="eastAsia" w:ascii="楷体_GB2312" w:hAnsi="黑体" w:eastAsia="楷体_GB2312" w:cs="楷体_GB2312"/>
          <w:bCs/>
          <w:kern w:val="0"/>
          <w:sz w:val="32"/>
          <w:szCs w:val="32"/>
        </w:rPr>
        <w:t>2.建设国家重要绿色农畜产品安全保障基地。</w:t>
      </w:r>
      <w:r>
        <w:rPr>
          <w:rFonts w:ascii="仿宋_GB2312" w:hAnsi="仿宋" w:eastAsia="仿宋_GB2312"/>
          <w:sz w:val="32"/>
        </w:rPr>
        <w:t>稳定发展粮食产业</w:t>
      </w:r>
      <w:r>
        <w:rPr>
          <w:rFonts w:hint="eastAsia" w:ascii="仿宋_GB2312" w:hAnsi="仿宋" w:eastAsia="仿宋_GB2312"/>
          <w:sz w:val="32"/>
        </w:rPr>
        <w:t>，</w:t>
      </w:r>
      <w:r>
        <w:rPr>
          <w:rFonts w:ascii="仿宋_GB2312" w:hAnsi="仿宋" w:eastAsia="仿宋_GB2312"/>
          <w:sz w:val="32"/>
        </w:rPr>
        <w:t>打造玉米优势产业带，扩大大豆播种面积</w:t>
      </w:r>
      <w:r>
        <w:rPr>
          <w:rFonts w:hint="eastAsia" w:ascii="仿宋_GB2312" w:hAnsi="仿宋" w:eastAsia="仿宋_GB2312"/>
          <w:sz w:val="32"/>
        </w:rPr>
        <w:t>，稳定马铃薯种植面积，因地制宜发展杂粮杂豆。</w:t>
      </w:r>
      <w:r>
        <w:rPr>
          <w:rFonts w:ascii="仿宋_GB2312" w:hAnsi="仿宋" w:eastAsia="仿宋_GB2312"/>
          <w:sz w:val="32"/>
        </w:rPr>
        <w:t>着力提升蔬菜产业</w:t>
      </w:r>
      <w:r>
        <w:rPr>
          <w:rFonts w:hint="eastAsia" w:ascii="仿宋_GB2312" w:hAnsi="仿宋" w:eastAsia="仿宋_GB2312"/>
          <w:sz w:val="32"/>
        </w:rPr>
        <w:t>，提高蔬菜的产量和效益。</w:t>
      </w:r>
      <w:r>
        <w:rPr>
          <w:rFonts w:ascii="仿宋_GB2312" w:hAnsi="仿宋" w:eastAsia="仿宋_GB2312"/>
          <w:sz w:val="32"/>
        </w:rPr>
        <w:t>稳步发展甜菜、油料、笤帚苗等经济作物。做大饲草产业</w:t>
      </w:r>
      <w:r>
        <w:rPr>
          <w:rFonts w:hint="eastAsia" w:ascii="仿宋_GB2312" w:hAnsi="仿宋" w:eastAsia="仿宋_GB2312"/>
          <w:sz w:val="32"/>
        </w:rPr>
        <w:t>，鼓励发展青贮玉米等优质饲草。大力发展草食畜牧业，落实农业农村部《肉牛肉羊生产发展五年行动方案》，</w:t>
      </w:r>
      <w:r>
        <w:rPr>
          <w:rFonts w:ascii="仿宋_GB2312" w:hAnsi="仿宋" w:eastAsia="仿宋_GB2312"/>
          <w:sz w:val="32"/>
        </w:rPr>
        <w:t>全力打造肉牛产业</w:t>
      </w:r>
      <w:r>
        <w:rPr>
          <w:rFonts w:hint="eastAsia" w:ascii="仿宋_GB2312" w:hAnsi="仿宋" w:eastAsia="仿宋_GB2312"/>
          <w:sz w:val="32"/>
        </w:rPr>
        <w:t>，</w:t>
      </w:r>
      <w:r>
        <w:rPr>
          <w:rFonts w:ascii="仿宋_GB2312" w:hAnsi="仿宋" w:eastAsia="仿宋_GB2312"/>
          <w:sz w:val="32"/>
        </w:rPr>
        <w:t>实施优质肉牛增量提效工程</w:t>
      </w:r>
      <w:r>
        <w:rPr>
          <w:rFonts w:hint="eastAsia" w:ascii="仿宋_GB2312" w:hAnsi="仿宋" w:eastAsia="仿宋_GB2312"/>
          <w:sz w:val="32"/>
        </w:rPr>
        <w:t>。</w:t>
      </w:r>
      <w:r>
        <w:rPr>
          <w:rFonts w:ascii="仿宋_GB2312" w:hAnsi="仿宋" w:eastAsia="仿宋_GB2312"/>
          <w:sz w:val="32"/>
        </w:rPr>
        <w:t>提升优化肉羊产业</w:t>
      </w:r>
      <w:r>
        <w:rPr>
          <w:rFonts w:hint="eastAsia" w:ascii="仿宋_GB2312" w:hAnsi="仿宋" w:eastAsia="仿宋_GB2312"/>
          <w:sz w:val="32"/>
        </w:rPr>
        <w:t>，</w:t>
      </w:r>
      <w:r>
        <w:rPr>
          <w:rFonts w:ascii="仿宋_GB2312" w:hAnsi="仿宋" w:eastAsia="仿宋_GB2312"/>
          <w:sz w:val="32"/>
        </w:rPr>
        <w:t>实施肉羊提质增效工程</w:t>
      </w:r>
      <w:r>
        <w:rPr>
          <w:rFonts w:hint="eastAsia" w:ascii="仿宋_GB2312" w:hAnsi="仿宋" w:eastAsia="仿宋_GB2312"/>
          <w:sz w:val="32"/>
        </w:rPr>
        <w:t>。</w:t>
      </w:r>
      <w:r>
        <w:rPr>
          <w:rFonts w:ascii="仿宋_GB2312" w:hAnsi="仿宋" w:eastAsia="仿宋_GB2312"/>
          <w:sz w:val="32"/>
        </w:rPr>
        <w:t>有序发展禽猪产业</w:t>
      </w:r>
      <w:r>
        <w:rPr>
          <w:rFonts w:hint="eastAsia" w:ascii="仿宋_GB2312" w:hAnsi="仿宋" w:eastAsia="仿宋_GB2312"/>
          <w:sz w:val="32"/>
        </w:rPr>
        <w:t>，全力抓好生猪稳产保供工作，推动生猪生产绿色健康发展</w:t>
      </w:r>
      <w:r>
        <w:rPr>
          <w:rFonts w:ascii="仿宋_GB2312" w:hAnsi="仿宋" w:eastAsia="仿宋_GB2312"/>
          <w:sz w:val="32"/>
        </w:rPr>
        <w:t>。实施奶业振兴行动</w:t>
      </w:r>
      <w:r>
        <w:rPr>
          <w:rFonts w:hint="eastAsia" w:ascii="仿宋_GB2312" w:hAnsi="仿宋" w:eastAsia="仿宋_GB2312"/>
          <w:sz w:val="32"/>
        </w:rPr>
        <w:t>，加强奶源基地建设</w:t>
      </w:r>
      <w:r>
        <w:rPr>
          <w:rFonts w:ascii="仿宋_GB2312" w:hAnsi="仿宋" w:eastAsia="仿宋_GB2312"/>
          <w:sz w:val="32"/>
        </w:rPr>
        <w:t>。因地制宜发展特色养殖业</w:t>
      </w:r>
      <w:r>
        <w:rPr>
          <w:rFonts w:hint="eastAsia" w:ascii="仿宋_GB2312" w:hAnsi="仿宋" w:eastAsia="仿宋_GB2312"/>
          <w:sz w:val="32"/>
        </w:rPr>
        <w:t>和</w:t>
      </w:r>
      <w:r>
        <w:rPr>
          <w:rFonts w:ascii="仿宋_GB2312" w:hAnsi="仿宋" w:eastAsia="仿宋_GB2312"/>
          <w:sz w:val="32"/>
        </w:rPr>
        <w:t>水产养殖业。</w:t>
      </w:r>
    </w:p>
    <w:p w14:paraId="2701E96C">
      <w:pPr>
        <w:spacing w:line="560" w:lineRule="exact"/>
        <w:ind w:firstLine="640" w:firstLineChars="200"/>
        <w:rPr>
          <w:rFonts w:ascii="仿宋_GB2312" w:hAnsi="仿宋_GB2312" w:eastAsia="仿宋_GB2312" w:cs="仿宋_GB2312"/>
          <w:kern w:val="0"/>
          <w:sz w:val="32"/>
          <w:szCs w:val="32"/>
        </w:rPr>
      </w:pPr>
    </w:p>
    <w:p w14:paraId="4DBFF03A">
      <w:pPr>
        <w:spacing w:line="560" w:lineRule="exact"/>
        <w:ind w:firstLine="640" w:firstLineChars="200"/>
        <w:jc w:val="center"/>
        <w:outlineLvl w:val="1"/>
        <w:rPr>
          <w:rFonts w:ascii="楷体_GB2312" w:hAnsi="楷体_GB2312" w:eastAsia="楷体_GB2312" w:cs="楷体_GB2312"/>
          <w:bCs/>
          <w:kern w:val="0"/>
          <w:sz w:val="32"/>
          <w:szCs w:val="32"/>
        </w:rPr>
      </w:pPr>
      <w:bookmarkStart w:id="12" w:name="_Toc94087860"/>
      <w:bookmarkStart w:id="13" w:name="_Toc25776"/>
      <w:r>
        <w:rPr>
          <w:rFonts w:ascii="楷体_GB2312" w:hAnsi="楷体_GB2312" w:eastAsia="楷体_GB2312" w:cs="楷体_GB2312"/>
          <w:bCs/>
          <w:kern w:val="0"/>
          <w:sz w:val="32"/>
          <w:szCs w:val="32"/>
        </w:rPr>
        <w:t>第二节 推进农牧业供给侧结构性改革</w:t>
      </w:r>
      <w:bookmarkEnd w:id="12"/>
      <w:bookmarkEnd w:id="13"/>
    </w:p>
    <w:p w14:paraId="35B482A1">
      <w:pPr>
        <w:spacing w:line="540" w:lineRule="exact"/>
        <w:ind w:firstLine="640" w:firstLineChars="200"/>
        <w:rPr>
          <w:rFonts w:ascii="楷体_GB2312" w:hAnsi="楷体_GB2312" w:eastAsia="楷体_GB2312" w:cs="楷体_GB2312"/>
          <w:kern w:val="0"/>
          <w:sz w:val="32"/>
          <w:szCs w:val="32"/>
        </w:rPr>
      </w:pPr>
    </w:p>
    <w:p w14:paraId="48D87572">
      <w:pPr>
        <w:spacing w:line="540" w:lineRule="exact"/>
        <w:ind w:firstLine="640" w:firstLineChars="200"/>
        <w:rPr>
          <w:rFonts w:ascii="仿宋_GB2312" w:hAnsi="仿宋" w:eastAsia="仿宋_GB2312"/>
          <w:sz w:val="32"/>
        </w:rPr>
      </w:pPr>
      <w:r>
        <w:rPr>
          <w:rFonts w:hint="eastAsia" w:ascii="仿宋_GB2312" w:hAnsi="仿宋" w:eastAsia="仿宋_GB2312"/>
          <w:sz w:val="32"/>
        </w:rPr>
        <w:t>充分发挥我市农牧产业优势，从资源环境、产业基础、市场前景等方面综合分析，重点调整优化农牧业种养结构，优化完善产业区域布局，促进农牧业高质量发展。</w:t>
      </w:r>
    </w:p>
    <w:p w14:paraId="12BD1ECC">
      <w:pPr>
        <w:spacing w:line="540" w:lineRule="exact"/>
        <w:ind w:firstLine="640" w:firstLineChars="200"/>
        <w:rPr>
          <w:rFonts w:ascii="仿宋_GB2312" w:hAnsi="仿宋" w:eastAsia="仿宋_GB2312"/>
          <w:sz w:val="32"/>
        </w:rPr>
      </w:pPr>
      <w:r>
        <w:rPr>
          <w:rFonts w:hint="eastAsia" w:ascii="楷体_GB2312" w:hAnsi="黑体" w:eastAsia="楷体_GB2312" w:cs="楷体_GB2312"/>
          <w:bCs/>
          <w:kern w:val="0"/>
          <w:sz w:val="32"/>
          <w:szCs w:val="32"/>
        </w:rPr>
        <w:t>1.优化种植业结构。</w:t>
      </w:r>
      <w:r>
        <w:rPr>
          <w:rFonts w:ascii="仿宋_GB2312" w:hAnsi="仿宋" w:eastAsia="仿宋_GB2312"/>
          <w:sz w:val="32"/>
        </w:rPr>
        <w:t>以满足消费市场多元化需求，以品种结构调整为重点，加快构建优势区域布局和专业生产格局，促进粮经饲协调发展。</w:t>
      </w:r>
    </w:p>
    <w:p w14:paraId="08C57730">
      <w:pPr>
        <w:spacing w:line="540" w:lineRule="exact"/>
        <w:ind w:firstLine="640" w:firstLineChars="200"/>
        <w:rPr>
          <w:rFonts w:ascii="仿宋_GB2312" w:hAnsi="仿宋" w:eastAsia="仿宋_GB2312"/>
          <w:sz w:val="32"/>
        </w:rPr>
      </w:pPr>
      <w:r>
        <w:rPr>
          <w:rFonts w:hint="eastAsia" w:ascii="仿宋_GB2312" w:hAnsi="仿宋" w:eastAsia="仿宋_GB2312"/>
          <w:sz w:val="32"/>
        </w:rPr>
        <w:t>稳定发展粮食产业。</w:t>
      </w:r>
      <w:r>
        <w:rPr>
          <w:rFonts w:ascii="仿宋_GB2312" w:hAnsi="仿宋" w:eastAsia="仿宋_GB2312"/>
          <w:sz w:val="32"/>
        </w:rPr>
        <w:t>加强粮食主产区和重要农产品生产保护区建设，进一步巩固和提升产粮大县及其他粮食生产区域粮食产能，打造玉米优势产业带，扩大大豆播种面积，有序调减高耗水农作物种植面积；合理布局，统筹推进高产优质杂粮生产区、杂豆生产区和马铃薯生产区建设。到2025年，粮食播种面积稳定在1670万亩以上，粮食</w:t>
      </w:r>
      <w:r>
        <w:rPr>
          <w:rFonts w:hint="eastAsia" w:ascii="仿宋_GB2312" w:hAnsi="仿宋" w:eastAsia="仿宋_GB2312"/>
          <w:sz w:val="32"/>
        </w:rPr>
        <w:t>年</w:t>
      </w:r>
      <w:r>
        <w:rPr>
          <w:rFonts w:ascii="仿宋_GB2312" w:hAnsi="仿宋" w:eastAsia="仿宋_GB2312"/>
          <w:sz w:val="32"/>
        </w:rPr>
        <w:t>产能稳定在100亿斤以上。玉米种植面积</w:t>
      </w:r>
      <w:r>
        <w:rPr>
          <w:rFonts w:hint="eastAsia" w:ascii="仿宋_GB2312" w:hAnsi="仿宋" w:eastAsia="仿宋_GB2312"/>
          <w:sz w:val="32"/>
        </w:rPr>
        <w:t>稳定在</w:t>
      </w:r>
      <w:r>
        <w:rPr>
          <w:rFonts w:ascii="仿宋_GB2312" w:hAnsi="仿宋" w:eastAsia="仿宋_GB2312"/>
          <w:sz w:val="32"/>
        </w:rPr>
        <w:t>900万亩</w:t>
      </w:r>
      <w:r>
        <w:rPr>
          <w:rFonts w:hint="eastAsia" w:ascii="仿宋_GB2312" w:hAnsi="仿宋" w:eastAsia="仿宋_GB2312"/>
          <w:sz w:val="32"/>
        </w:rPr>
        <w:t>以上</w:t>
      </w:r>
      <w:r>
        <w:rPr>
          <w:rFonts w:ascii="仿宋_GB2312" w:hAnsi="仿宋" w:eastAsia="仿宋_GB2312"/>
          <w:sz w:val="32"/>
        </w:rPr>
        <w:t>，</w:t>
      </w:r>
      <w:r>
        <w:rPr>
          <w:rFonts w:hint="eastAsia" w:ascii="仿宋_GB2312" w:hAnsi="仿宋" w:eastAsia="仿宋_GB2312"/>
          <w:sz w:val="32"/>
        </w:rPr>
        <w:t>年</w:t>
      </w:r>
      <w:r>
        <w:rPr>
          <w:rFonts w:ascii="仿宋_GB2312" w:hAnsi="仿宋" w:eastAsia="仿宋_GB2312"/>
          <w:sz w:val="32"/>
        </w:rPr>
        <w:t>产量达到92</w:t>
      </w:r>
      <w:r>
        <w:rPr>
          <w:rFonts w:hint="eastAsia" w:ascii="仿宋_GB2312" w:hAnsi="仿宋" w:eastAsia="仿宋_GB2312"/>
          <w:sz w:val="32"/>
        </w:rPr>
        <w:t>亿斤</w:t>
      </w:r>
      <w:r>
        <w:rPr>
          <w:rFonts w:ascii="仿宋_GB2312" w:hAnsi="仿宋" w:eastAsia="仿宋_GB2312"/>
          <w:sz w:val="32"/>
        </w:rPr>
        <w:t>；大豆播种面积达到110万亩以上；粮杂豆种植面积稳定在500万亩，</w:t>
      </w:r>
      <w:r>
        <w:rPr>
          <w:rFonts w:hint="eastAsia" w:ascii="仿宋_GB2312" w:hAnsi="仿宋" w:eastAsia="仿宋_GB2312"/>
          <w:sz w:val="32"/>
        </w:rPr>
        <w:t>年</w:t>
      </w:r>
      <w:r>
        <w:rPr>
          <w:rFonts w:ascii="仿宋_GB2312" w:hAnsi="仿宋" w:eastAsia="仿宋_GB2312"/>
          <w:sz w:val="32"/>
        </w:rPr>
        <w:t>产量稳定在20</w:t>
      </w:r>
      <w:r>
        <w:rPr>
          <w:rFonts w:hint="eastAsia" w:ascii="仿宋_GB2312" w:hAnsi="仿宋" w:eastAsia="仿宋_GB2312"/>
          <w:sz w:val="32"/>
        </w:rPr>
        <w:t>亿</w:t>
      </w:r>
      <w:r>
        <w:rPr>
          <w:rFonts w:ascii="仿宋_GB2312" w:hAnsi="仿宋" w:eastAsia="仿宋_GB2312"/>
          <w:sz w:val="32"/>
        </w:rPr>
        <w:t>斤以上；马铃薯种植面积</w:t>
      </w:r>
      <w:r>
        <w:rPr>
          <w:rFonts w:hint="eastAsia" w:ascii="仿宋_GB2312" w:hAnsi="仿宋" w:eastAsia="仿宋_GB2312"/>
          <w:sz w:val="32"/>
        </w:rPr>
        <w:t>稳定在20</w:t>
      </w:r>
      <w:r>
        <w:rPr>
          <w:rFonts w:ascii="仿宋_GB2312" w:hAnsi="仿宋" w:eastAsia="仿宋_GB2312"/>
          <w:sz w:val="32"/>
        </w:rPr>
        <w:t>万亩，</w:t>
      </w:r>
      <w:r>
        <w:rPr>
          <w:rFonts w:hint="eastAsia" w:ascii="仿宋_GB2312" w:hAnsi="仿宋" w:eastAsia="仿宋_GB2312"/>
          <w:sz w:val="32"/>
        </w:rPr>
        <w:t>年</w:t>
      </w:r>
      <w:r>
        <w:rPr>
          <w:rFonts w:ascii="仿宋_GB2312" w:hAnsi="仿宋" w:eastAsia="仿宋_GB2312"/>
          <w:sz w:val="32"/>
        </w:rPr>
        <w:t>产量达到2</w:t>
      </w:r>
      <w:r>
        <w:rPr>
          <w:rFonts w:hint="eastAsia" w:ascii="仿宋_GB2312" w:hAnsi="仿宋" w:eastAsia="仿宋_GB2312"/>
          <w:sz w:val="32"/>
        </w:rPr>
        <w:t>亿</w:t>
      </w:r>
      <w:r>
        <w:rPr>
          <w:rFonts w:ascii="仿宋_GB2312" w:hAnsi="仿宋" w:eastAsia="仿宋_GB2312"/>
          <w:sz w:val="32"/>
        </w:rPr>
        <w:t>斤。</w:t>
      </w:r>
    </w:p>
    <w:p w14:paraId="638D3827">
      <w:pPr>
        <w:spacing w:line="540" w:lineRule="exact"/>
        <w:ind w:firstLine="640" w:firstLineChars="200"/>
        <w:rPr>
          <w:rFonts w:ascii="仿宋_GB2312" w:hAnsi="仿宋" w:eastAsia="仿宋_GB2312"/>
          <w:sz w:val="32"/>
        </w:rPr>
      </w:pPr>
      <w:r>
        <w:rPr>
          <w:rFonts w:hint="eastAsia" w:ascii="仿宋_GB2312" w:hAnsi="仿宋" w:eastAsia="仿宋_GB2312"/>
          <w:sz w:val="32"/>
        </w:rPr>
        <w:t>着力发展蔬菜产业。</w:t>
      </w:r>
      <w:r>
        <w:rPr>
          <w:rFonts w:ascii="仿宋_GB2312" w:hAnsi="仿宋" w:eastAsia="仿宋_GB2312"/>
          <w:sz w:val="32"/>
        </w:rPr>
        <w:t>坚持新建和改造相结合，以标准化、产业化、品牌化、智能化为发展方向，推动设施农业提档升级。持续打造南部设施农业规模发展核心区、北部设施农业特色发展优势区，建设露地蔬菜生产基地，统筹提升错季上市和持续供应能力。优化品种，提升品质，以“赤峰番茄”自治区特色产业优势区建设为引领，推动“赤峰黄瓜”“赤峰辣椒”等更多蔬菜主栽品种进入自治区农畜产品特色优势区建设行列，加快形成南北部各具特色，相互衔接的发展格局。到2025年，全市设施农业综合占地面积达到200万亩，露地蔬菜种植面积达到100万亩。</w:t>
      </w:r>
    </w:p>
    <w:p w14:paraId="55337CD6">
      <w:pPr>
        <w:spacing w:line="540" w:lineRule="exact"/>
        <w:ind w:firstLine="640" w:firstLineChars="200"/>
        <w:rPr>
          <w:rFonts w:ascii="仿宋" w:hAnsi="仿宋" w:eastAsia="仿宋"/>
          <w:sz w:val="32"/>
          <w:szCs w:val="32"/>
        </w:rPr>
      </w:pPr>
      <w:r>
        <w:rPr>
          <w:rFonts w:hint="eastAsia" w:ascii="仿宋_GB2312" w:hAnsi="仿宋" w:eastAsia="仿宋_GB2312"/>
          <w:sz w:val="32"/>
        </w:rPr>
        <w:t>强力做大饲草产业。</w:t>
      </w:r>
      <w:r>
        <w:rPr>
          <w:rFonts w:hint="eastAsia" w:ascii="仿宋_GB2312" w:hAnsi="仿宋" w:eastAsia="仿宋_GB2312"/>
          <w:sz w:val="32"/>
          <w:szCs w:val="22"/>
        </w:rPr>
        <w:t>优化产业布局，坚持宜种则种，持续做强阿鲁科尔沁旗人工种草核心区，培育壮大北部旗县人工优质饲草种植集中区，围绕翁牛特旗等科尔沁沙地边缘建设旱作苜蓿、羊草产业带。聚焦农区养殖优势区和肉牛、肉羊养殖产业带，大力推广全株玉米青贮，推动秸秆饲料化综合利用。</w:t>
      </w:r>
      <w:r>
        <w:rPr>
          <w:rFonts w:hint="eastAsia" w:ascii="仿宋_GB2312" w:hAnsi="仿宋" w:eastAsia="仿宋_GB2312"/>
          <w:color w:val="auto"/>
          <w:sz w:val="32"/>
          <w:szCs w:val="22"/>
        </w:rPr>
        <w:t>依托京津风沙源治理、退耕还草、已垦撂荒草原治理试点等项目，提升天然草原生产能力。</w:t>
      </w:r>
      <w:r>
        <w:rPr>
          <w:rFonts w:hint="eastAsia" w:ascii="仿宋_GB2312" w:hAnsi="仿宋" w:eastAsia="仿宋_GB2312"/>
          <w:sz w:val="32"/>
          <w:szCs w:val="22"/>
        </w:rPr>
        <w:t>因地制宜发展灌木类饲草生产。实施饲草质量提升工程，支持羊草、苜蓿、饲用燕麦优质品种培育推广。到2025年，全市青贮玉米种植面积力争增加到275万亩，苜蓿播种面积稳定在80万亩，人工饲草总产量达到1000万吨以上。</w:t>
      </w:r>
    </w:p>
    <w:p w14:paraId="1A850218">
      <w:pPr>
        <w:spacing w:line="540" w:lineRule="exact"/>
        <w:ind w:firstLine="640" w:firstLineChars="200"/>
        <w:rPr>
          <w:rFonts w:ascii="仿宋_GB2312" w:hAnsi="仿宋" w:eastAsia="仿宋_GB2312"/>
          <w:sz w:val="32"/>
        </w:rPr>
      </w:pPr>
      <w:r>
        <w:rPr>
          <w:rFonts w:hint="eastAsia" w:ascii="仿宋_GB2312" w:hAnsi="仿宋" w:eastAsia="仿宋_GB2312"/>
          <w:sz w:val="32"/>
        </w:rPr>
        <w:t>大力发展特色产业。</w:t>
      </w:r>
      <w:r>
        <w:rPr>
          <w:rFonts w:ascii="仿宋_GB2312" w:hAnsi="仿宋" w:eastAsia="仿宋_GB2312"/>
          <w:sz w:val="32"/>
        </w:rPr>
        <w:t>突出地域特色，优化品种结构，持续提质增效。建设林西县、克什克腾旗、喀喇沁旗、敖汉旗、松山区道地中蒙药材仿野生栽培基地。稳步发展甜菜、油料、笤帚苗等经济作物。到2025年，中药材种植面积达到50万亩；甜菜种植面积稳定在20万亩</w:t>
      </w:r>
      <w:r>
        <w:rPr>
          <w:rFonts w:hint="eastAsia" w:ascii="仿宋_GB2312" w:hAnsi="仿宋" w:eastAsia="仿宋_GB2312"/>
          <w:sz w:val="32"/>
        </w:rPr>
        <w:t>以上</w:t>
      </w:r>
      <w:r>
        <w:rPr>
          <w:rFonts w:ascii="仿宋_GB2312" w:hAnsi="仿宋" w:eastAsia="仿宋_GB2312"/>
          <w:sz w:val="32"/>
        </w:rPr>
        <w:t>；向日葵种植面积</w:t>
      </w:r>
      <w:r>
        <w:rPr>
          <w:rFonts w:hint="eastAsia" w:ascii="仿宋_GB2312" w:hAnsi="仿宋" w:eastAsia="仿宋_GB2312"/>
          <w:sz w:val="32"/>
        </w:rPr>
        <w:t>稳定在</w:t>
      </w:r>
      <w:r>
        <w:rPr>
          <w:rFonts w:ascii="仿宋_GB2312" w:hAnsi="仿宋" w:eastAsia="仿宋_GB2312"/>
          <w:sz w:val="32"/>
        </w:rPr>
        <w:t>50万亩</w:t>
      </w:r>
      <w:r>
        <w:rPr>
          <w:rFonts w:hint="eastAsia" w:ascii="仿宋_GB2312" w:hAnsi="仿宋" w:eastAsia="仿宋_GB2312"/>
          <w:sz w:val="32"/>
        </w:rPr>
        <w:t>以上</w:t>
      </w:r>
      <w:r>
        <w:rPr>
          <w:rFonts w:ascii="仿宋_GB2312" w:hAnsi="仿宋" w:eastAsia="仿宋_GB2312"/>
          <w:sz w:val="32"/>
        </w:rPr>
        <w:t>；笤帚苗子种植面积达到30万亩。</w:t>
      </w:r>
    </w:p>
    <w:p w14:paraId="316E45B6">
      <w:pPr>
        <w:spacing w:line="540" w:lineRule="exact"/>
        <w:ind w:firstLine="640" w:firstLineChars="200"/>
        <w:rPr>
          <w:rFonts w:ascii="仿宋_GB2312" w:hAnsi="仿宋" w:eastAsia="仿宋_GB2312"/>
          <w:sz w:val="32"/>
        </w:rPr>
      </w:pPr>
      <w:r>
        <w:rPr>
          <w:rFonts w:hint="eastAsia" w:ascii="楷体_GB2312" w:hAnsi="黑体" w:eastAsia="楷体_GB2312" w:cs="楷体_GB2312"/>
          <w:bCs/>
          <w:kern w:val="0"/>
          <w:sz w:val="32"/>
          <w:szCs w:val="32"/>
        </w:rPr>
        <w:t>2.优化畜牧业结构。</w:t>
      </w:r>
      <w:r>
        <w:rPr>
          <w:rFonts w:ascii="仿宋_GB2312" w:hAnsi="仿宋" w:eastAsia="仿宋_GB2312"/>
          <w:sz w:val="32"/>
        </w:rPr>
        <w:t>以“增牛优羊、增禽优猪”为导向，发挥农牧结合优势，推动牛羊标准化规模化养殖，抓好生猪稳产保供工作，保障肉类供应。</w:t>
      </w:r>
    </w:p>
    <w:p w14:paraId="0398FF80">
      <w:pPr>
        <w:spacing w:line="540" w:lineRule="exact"/>
        <w:ind w:firstLine="640" w:firstLineChars="200"/>
        <w:rPr>
          <w:rFonts w:ascii="仿宋_GB2312" w:hAnsi="仿宋" w:eastAsia="仿宋_GB2312"/>
          <w:sz w:val="32"/>
        </w:rPr>
      </w:pPr>
      <w:r>
        <w:rPr>
          <w:rFonts w:hint="eastAsia" w:ascii="仿宋_GB2312" w:hAnsi="仿宋" w:eastAsia="仿宋_GB2312"/>
          <w:sz w:val="32"/>
        </w:rPr>
        <w:t>全力打造肉牛产业。</w:t>
      </w:r>
      <w:r>
        <w:rPr>
          <w:rFonts w:ascii="仿宋_GB2312" w:hAnsi="仿宋" w:eastAsia="仿宋_GB2312"/>
          <w:sz w:val="32"/>
        </w:rPr>
        <w:t>实施优质肉牛增量提效工程，强化政策扶持力度。大力推动基础母牛扩群提质，建设一批高水平的肉牛繁育基地，持续推动集约化、标准化肉牛养殖聚集区建设。积极引进国际高端肉牛品种开展试验示范，全面提升肉牛品质，提高养殖效益。到2025年，肉牛存栏达到400万头。</w:t>
      </w:r>
    </w:p>
    <w:p w14:paraId="6B8803BE">
      <w:pPr>
        <w:spacing w:line="540" w:lineRule="exact"/>
        <w:ind w:firstLine="640" w:firstLineChars="200"/>
        <w:rPr>
          <w:rFonts w:ascii="仿宋_GB2312" w:hAnsi="仿宋" w:eastAsia="仿宋_GB2312"/>
          <w:sz w:val="32"/>
        </w:rPr>
      </w:pPr>
      <w:r>
        <w:rPr>
          <w:rFonts w:hint="eastAsia" w:ascii="仿宋_GB2312" w:hAnsi="仿宋" w:eastAsia="仿宋_GB2312"/>
          <w:sz w:val="32"/>
        </w:rPr>
        <w:t>提升优化肉羊产业。</w:t>
      </w:r>
      <w:r>
        <w:rPr>
          <w:rFonts w:ascii="仿宋_GB2312" w:hAnsi="仿宋" w:eastAsia="仿宋_GB2312"/>
          <w:sz w:val="32"/>
        </w:rPr>
        <w:t>实施肉羊提质增效工程，引导养殖主体，树立“少养”“精养”理念，加快转变生产方式，提升单体养殖效益。在北部牧区，充分发挥草原羊品质优势，以主攻国内高端消费市场为方向，以昭乌达肉羊、蒙古羊为主推品种。在半农半牧区和农区，优化基础母羊种群，推广“杜蒙”“杜寒”等主要杂交品种，提高规模化、标准化舍饲育肥水平。到2025年，肉羊存栏控制在1500万只以内。</w:t>
      </w:r>
    </w:p>
    <w:p w14:paraId="0FDE8685">
      <w:pPr>
        <w:spacing w:line="540" w:lineRule="exact"/>
        <w:ind w:firstLine="640" w:firstLineChars="200"/>
        <w:rPr>
          <w:rFonts w:ascii="仿宋_GB2312" w:hAnsi="仿宋" w:eastAsia="仿宋_GB2312"/>
          <w:sz w:val="32"/>
        </w:rPr>
      </w:pPr>
      <w:r>
        <w:rPr>
          <w:rFonts w:hint="eastAsia" w:ascii="仿宋_GB2312" w:hAnsi="仿宋" w:eastAsia="仿宋_GB2312"/>
          <w:sz w:val="32"/>
        </w:rPr>
        <w:t>有序发展禽猪产业。</w:t>
      </w:r>
      <w:r>
        <w:rPr>
          <w:rFonts w:ascii="仿宋_GB2312" w:hAnsi="仿宋" w:eastAsia="仿宋_GB2312"/>
          <w:sz w:val="32"/>
        </w:rPr>
        <w:t>将禽产业作为增加农牧民收入的重要支点，推动标准化、规模化生产。打造禽产业优势区，有序发展禽产业。有序发展生猪产业，稳定生猪产能，科学划定养殖区域，推动标准化养殖场建设，合理控制单位生产主体养殖规模，</w:t>
      </w:r>
      <w:r>
        <w:rPr>
          <w:rFonts w:hint="eastAsia" w:ascii="仿宋_GB2312" w:hAnsi="仿宋" w:eastAsia="仿宋_GB2312"/>
          <w:sz w:val="32"/>
        </w:rPr>
        <w:t>推动生猪生产绿色健康发展。</w:t>
      </w:r>
      <w:r>
        <w:rPr>
          <w:rFonts w:ascii="仿宋_GB2312" w:hAnsi="仿宋" w:eastAsia="仿宋_GB2312"/>
          <w:sz w:val="32"/>
        </w:rPr>
        <w:t>到2025年，全市家禽养殖量达到1亿只以上，生猪存栏稳定在400万头。</w:t>
      </w:r>
    </w:p>
    <w:p w14:paraId="63D30F70">
      <w:pPr>
        <w:spacing w:line="540" w:lineRule="exact"/>
        <w:ind w:firstLine="640" w:firstLineChars="200"/>
        <w:rPr>
          <w:rFonts w:ascii="仿宋_GB2312" w:hAnsi="仿宋" w:eastAsia="仿宋_GB2312"/>
          <w:sz w:val="32"/>
        </w:rPr>
      </w:pPr>
      <w:r>
        <w:rPr>
          <w:rFonts w:hint="eastAsia" w:ascii="仿宋_GB2312" w:hAnsi="仿宋" w:eastAsia="仿宋_GB2312"/>
          <w:sz w:val="32"/>
        </w:rPr>
        <w:t>持续实施奶业振兴行动。</w:t>
      </w:r>
      <w:r>
        <w:rPr>
          <w:rFonts w:ascii="仿宋_GB2312" w:hAnsi="仿宋" w:eastAsia="仿宋_GB2312"/>
          <w:sz w:val="32"/>
        </w:rPr>
        <w:t>建设优质、高产、绿色奶源基地，推广荷斯坦奶牛等优质奶牛品种，培育引进大型奶牛养殖企业，推进</w:t>
      </w:r>
      <w:r>
        <w:rPr>
          <w:rFonts w:hint="eastAsia" w:ascii="仿宋_GB2312" w:hAnsi="仿宋" w:eastAsia="仿宋_GB2312"/>
          <w:sz w:val="32"/>
        </w:rPr>
        <w:t>中小奶畜养殖场户升级改造</w:t>
      </w:r>
      <w:r>
        <w:rPr>
          <w:rFonts w:ascii="仿宋_GB2312" w:hAnsi="仿宋" w:eastAsia="仿宋_GB2312"/>
          <w:sz w:val="32"/>
        </w:rPr>
        <w:t>，促进奶牛存栏和牛奶产量稳定增长。到2025年，全市鲜奶总产量达到100万吨。</w:t>
      </w:r>
    </w:p>
    <w:p w14:paraId="16999647">
      <w:pPr>
        <w:spacing w:line="540" w:lineRule="exact"/>
        <w:ind w:firstLine="640" w:firstLineChars="200"/>
        <w:rPr>
          <w:rFonts w:ascii="仿宋_GB2312" w:hAnsi="仿宋" w:eastAsia="仿宋_GB2312"/>
          <w:sz w:val="32"/>
        </w:rPr>
      </w:pPr>
      <w:r>
        <w:rPr>
          <w:rFonts w:hint="eastAsia" w:ascii="仿宋_GB2312" w:hAnsi="仿宋" w:eastAsia="仿宋_GB2312"/>
          <w:sz w:val="32"/>
        </w:rPr>
        <w:t>积极发展特色养殖业。</w:t>
      </w:r>
      <w:r>
        <w:rPr>
          <w:rFonts w:ascii="仿宋_GB2312" w:hAnsi="仿宋" w:eastAsia="仿宋_GB2312"/>
          <w:sz w:val="32"/>
        </w:rPr>
        <w:t>发展马、驴、鹿等特色养殖产业。</w:t>
      </w:r>
    </w:p>
    <w:p w14:paraId="62FDC90B">
      <w:pPr>
        <w:spacing w:line="540" w:lineRule="exact"/>
        <w:ind w:firstLine="640" w:firstLineChars="200"/>
        <w:rPr>
          <w:rFonts w:ascii="仿宋_GB2312" w:hAnsi="仿宋" w:eastAsia="仿宋_GB2312"/>
          <w:sz w:val="32"/>
        </w:rPr>
      </w:pPr>
      <w:r>
        <w:rPr>
          <w:rFonts w:hint="eastAsia" w:ascii="仿宋_GB2312" w:hAnsi="仿宋" w:eastAsia="仿宋_GB2312"/>
          <w:sz w:val="32"/>
        </w:rPr>
        <w:t>稳定发展水产养殖业。</w:t>
      </w:r>
      <w:r>
        <w:rPr>
          <w:rFonts w:ascii="仿宋_GB2312" w:hAnsi="仿宋" w:eastAsia="仿宋_GB2312"/>
          <w:sz w:val="32"/>
        </w:rPr>
        <w:t>落实自治区养殖水域滩涂规划，稳定水产养殖面积，强化水生生物养护，规范增殖流放，提升渔业发展质量，到2025年全市水产品产量达到1.1万吨以上。</w:t>
      </w:r>
    </w:p>
    <w:p w14:paraId="05D7198A">
      <w:pPr>
        <w:spacing w:after="120"/>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338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0C55EBA5">
            <w:pPr>
              <w:spacing w:after="120" w:line="580" w:lineRule="exact"/>
              <w:jc w:val="center"/>
              <w:rPr>
                <w:rFonts w:ascii="仿宋_GB2312" w:eastAsia="仿宋_GB2312"/>
                <w:sz w:val="28"/>
                <w:szCs w:val="28"/>
              </w:rPr>
            </w:pPr>
            <w:r>
              <w:rPr>
                <w:rFonts w:hint="eastAsia" w:ascii="黑体" w:hAnsi="黑体" w:eastAsia="黑体" w:cs="黑体"/>
                <w:sz w:val="28"/>
                <w:szCs w:val="28"/>
              </w:rPr>
              <w:t>专栏：优化畜牧业结构</w:t>
            </w:r>
          </w:p>
        </w:tc>
      </w:tr>
      <w:tr w14:paraId="6EBA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72525451">
            <w:pPr>
              <w:spacing w:line="440" w:lineRule="exact"/>
              <w:jc w:val="left"/>
              <w:rPr>
                <w:rFonts w:ascii="仿宋_GB2312" w:eastAsia="仿宋_GB2312"/>
                <w:sz w:val="28"/>
              </w:rPr>
            </w:pPr>
            <w:r>
              <w:rPr>
                <w:rFonts w:hint="eastAsia" w:ascii="仿宋_GB2312" w:eastAsia="仿宋_GB2312"/>
                <w:sz w:val="28"/>
              </w:rPr>
              <w:t xml:space="preserve">    1.实施基础母牛扩群提质行动。依托基础母牛扩群提质项目对饲养基础母牛、选用优秀种公牛冻精配种并扩大养殖规模的养殖场（户）给予补助。</w:t>
            </w:r>
          </w:p>
          <w:p w14:paraId="7858E3E2">
            <w:pPr>
              <w:spacing w:line="440" w:lineRule="exact"/>
              <w:rPr>
                <w:rFonts w:ascii="仿宋_GB2312" w:eastAsia="仿宋_GB2312"/>
                <w:sz w:val="28"/>
                <w:szCs w:val="28"/>
              </w:rPr>
            </w:pPr>
            <w:r>
              <w:rPr>
                <w:rFonts w:hint="eastAsia" w:ascii="仿宋_GB2312" w:eastAsia="仿宋_GB2312"/>
                <w:sz w:val="28"/>
              </w:rPr>
              <w:t xml:space="preserve">    2.推进奶业振兴。在支持奶牛家庭牧场的基础上，重点扶持中小奶畜养殖场户提档升级，加大奶农合作社建设力度。依托国家和自治区奶业振兴项目，集中改造提升一批中小奶畜养殖场，计划改造提升100个。支持在阿鲁科尔沁旗、巴林左旗、巴林右旗、克什克腾旗、翁牛特旗等牧区开展地方特色乳制品手工坊标准化试点，依托自治区奶业振兴项目，集中改造提升一批地方奶食品加工标准化试点，计划改造提升地方奶食品加工点50个。</w:t>
            </w:r>
          </w:p>
        </w:tc>
      </w:tr>
    </w:tbl>
    <w:p w14:paraId="0A962961">
      <w:pPr>
        <w:spacing w:line="20" w:lineRule="exact"/>
        <w:ind w:firstLine="0"/>
        <w:rPr>
          <w:rFonts w:hint="eastAsia" w:ascii="仿宋_GB2312" w:hAnsi="仿宋_GB2312" w:eastAsia="仿宋_GB2312" w:cs="仿宋_GB2312"/>
          <w:b/>
          <w:kern w:val="0"/>
          <w:sz w:val="32"/>
          <w:szCs w:val="32"/>
        </w:rPr>
      </w:pPr>
    </w:p>
    <w:p w14:paraId="1C91445F">
      <w:pPr>
        <w:spacing w:line="560" w:lineRule="exact"/>
        <w:ind w:firstLine="640" w:firstLineChars="200"/>
        <w:rPr>
          <w:rFonts w:ascii="仿宋_GB2312" w:hAnsi="仿宋" w:eastAsia="仿宋_GB2312"/>
          <w:sz w:val="32"/>
        </w:rPr>
      </w:pPr>
      <w:r>
        <w:rPr>
          <w:rFonts w:hint="eastAsia" w:ascii="楷体_GB2312" w:hAnsi="黑体" w:eastAsia="楷体_GB2312" w:cs="楷体_GB2312"/>
          <w:bCs/>
          <w:kern w:val="0"/>
          <w:sz w:val="32"/>
          <w:szCs w:val="32"/>
        </w:rPr>
        <w:t>3.建设优势特色农畜产品产业带。</w:t>
      </w:r>
      <w:r>
        <w:rPr>
          <w:rFonts w:hint="eastAsia" w:ascii="仿宋_GB2312" w:hAnsi="仿宋" w:eastAsia="仿宋_GB2312"/>
          <w:sz w:val="32"/>
        </w:rPr>
        <w:t>依托全市得天独厚的农牧业资源和独特的海拔、纬度、气温、降水、光照等地理和气候条件，</w:t>
      </w:r>
      <w:r>
        <w:rPr>
          <w:rFonts w:ascii="仿宋_GB2312" w:hAnsi="仿宋" w:eastAsia="仿宋_GB2312"/>
          <w:sz w:val="32"/>
        </w:rPr>
        <w:t>围绕粮食生产功能区、重要农产品生产保护区和特色农产品优势区建设，</w:t>
      </w:r>
      <w:r>
        <w:rPr>
          <w:rFonts w:hint="eastAsia" w:ascii="仿宋_GB2312" w:hAnsi="仿宋" w:eastAsia="仿宋_GB2312"/>
          <w:sz w:val="32"/>
        </w:rPr>
        <w:t>聚焦已形成的区域优势品种，</w:t>
      </w:r>
      <w:r>
        <w:rPr>
          <w:rFonts w:ascii="仿宋_GB2312" w:hAnsi="仿宋" w:eastAsia="仿宋_GB2312"/>
          <w:sz w:val="32"/>
        </w:rPr>
        <w:t>明确农牧业优势产业区域发展定位</w:t>
      </w:r>
      <w:r>
        <w:rPr>
          <w:rFonts w:hint="eastAsia" w:ascii="仿宋_GB2312" w:hAnsi="仿宋" w:eastAsia="仿宋_GB2312"/>
          <w:sz w:val="32"/>
        </w:rPr>
        <w:t>和</w:t>
      </w:r>
      <w:r>
        <w:rPr>
          <w:rFonts w:ascii="仿宋_GB2312" w:hAnsi="仿宋" w:eastAsia="仿宋_GB2312"/>
          <w:sz w:val="32"/>
        </w:rPr>
        <w:t>方向，</w:t>
      </w:r>
      <w:r>
        <w:rPr>
          <w:rFonts w:hint="eastAsia" w:ascii="仿宋_GB2312" w:hAnsi="仿宋" w:eastAsia="仿宋_GB2312"/>
          <w:sz w:val="32"/>
        </w:rPr>
        <w:t>推动优势产业向优势区域集中集聚，</w:t>
      </w:r>
      <w:r>
        <w:rPr>
          <w:rFonts w:ascii="仿宋_GB2312" w:hAnsi="仿宋" w:eastAsia="仿宋_GB2312"/>
          <w:sz w:val="32"/>
        </w:rPr>
        <w:t>重点建设玉米、大豆、杂粮杂豆、蔬菜、马铃薯、葵花、中草药材、肉牛、肉羊、生猪、禽蛋、饲草、奶业、渔业等14个优势特色农畜产品产业带</w:t>
      </w:r>
      <w:r>
        <w:rPr>
          <w:rFonts w:hint="eastAsia" w:ascii="仿宋_GB2312" w:hAnsi="仿宋" w:eastAsia="仿宋_GB2312"/>
          <w:sz w:val="32"/>
        </w:rPr>
        <w:t>，厚植农牧业高质量发展的基础和优势。</w:t>
      </w:r>
    </w:p>
    <w:p w14:paraId="489F5097">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bCs/>
          <w:kern w:val="0"/>
          <w:sz w:val="32"/>
          <w:szCs w:val="32"/>
        </w:rPr>
        <w:t>4.加快重点产业全产业链建设。</w:t>
      </w:r>
      <w:r>
        <w:rPr>
          <w:rFonts w:hint="eastAsia" w:ascii="仿宋_GB2312" w:hAnsi="仿宋" w:eastAsia="仿宋_GB2312"/>
          <w:sz w:val="32"/>
        </w:rPr>
        <w:t>聚焦粮食、蔬菜、肉牛、肉羊等规模化主导产业，找准强链、补链、延链、固链环节，以“链长制”，推动重点产业发展。选择在全产业链建设中起主导作用的国家级龙头企业担任“链主”，牵头构建农牧业产业化联合体，建设标准化原料基地，发展精细化综合加工，搭建体系化物流网络，开展品牌化市场营销，推进社会化全程服务，推广绿色化发展模式，促进数字化转型升级。打造一批创新能力强、产业链条全、绿色底色足、安全可控制、联农带农紧的现代农牧业全产业链体系。</w:t>
      </w:r>
    </w:p>
    <w:p w14:paraId="34C5CEFF">
      <w:pPr>
        <w:spacing w:after="120"/>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2E8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30EECB80">
            <w:pPr>
              <w:spacing w:line="580" w:lineRule="exact"/>
              <w:jc w:val="center"/>
              <w:rPr>
                <w:rFonts w:ascii="仿宋_GB2312" w:hAnsi="仿宋_GB2312" w:eastAsia="仿宋_GB2312" w:cs="仿宋_GB2312"/>
                <w:sz w:val="28"/>
                <w:szCs w:val="28"/>
              </w:rPr>
            </w:pPr>
            <w:r>
              <w:rPr>
                <w:rFonts w:hint="eastAsia" w:ascii="黑体" w:hAnsi="黑体" w:eastAsia="黑体" w:cs="黑体"/>
                <w:sz w:val="28"/>
                <w:szCs w:val="28"/>
              </w:rPr>
              <w:t>专栏：优势特色产业带</w:t>
            </w:r>
          </w:p>
        </w:tc>
      </w:tr>
      <w:tr w14:paraId="2C5B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6E51C4D5">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打造以阿鲁科尔沁旗、巴林左旗、林西县、翁牛特旗、宁城县、敖汉旗、松山区等水利条件相对较好、热量较高的地区为重点的玉米优势产业带。在核心产区,推广优质高产专用品种和抗病、抗旱、宜机收品种,配套农机农艺措施,加强耕地质量建设,扩大标准化生产面积。在农牧交错带、农区畜牧业聚集区,依托养殖业开展订单生产,扩大玉米全株青贮种植面积，在城郊区稳定发展鲜食玉米。进一步调优品种结构,发展节水农业。</w:t>
            </w:r>
          </w:p>
          <w:p w14:paraId="08F7AB86">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2.打造以阿鲁科尔沁旗、巴林左旗、巴林右旗、翁牛特翁旗、松山区为重点的绿色有机大豆产业带。实施大豆振兴计划，推广玉米大豆带状复合种植技术，扩大大豆种植面积，提升单产水平和品质，增加优质大豆供给。</w:t>
            </w:r>
          </w:p>
          <w:p w14:paraId="70E504F2">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3.打造以克什克腾旗、翁牛特旗、松山区西部地区等冷凉地区为重点的马铃薯生产区。推广优质高产抗病专用品种,提高脱毒种薯应用率,推广大垄高台、滴灌裁培、全程机械化作业等配套技术模式,提升产业发展水平。</w:t>
            </w:r>
          </w:p>
          <w:p w14:paraId="5D0DF8C5">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4.打造丘陵区向日葵生产区。推广商品性好、抗性强的优质大粒型食葵品种，稳定播种面积,推广生态友好型轮作模式,重点解决向日葵列当危害,重点推广以滴灌为主的种植模式，打造新的优势产区。</w:t>
            </w:r>
          </w:p>
          <w:p w14:paraId="6E7EAA03">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5.打造以翁牛特旗、喀喇沁旗、宁城县、红山区、元宝山区、松山区为重点的设施蔬菜规模发展核心区、北部设施蔬菜特色发展优势区。以翁牛特旗、松山区、林西县和克什克腾旗为重点建设露地蔬菜生产基地，提升设施标准化建设水平、大力推广水肥一体化、立体种植等新技术,发展净菜加工和冷链物流产业,支持蔬菜外运。</w:t>
            </w:r>
          </w:p>
          <w:p w14:paraId="6D3E2026">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6.打造以巴林左旗、林西县、翁牛特旗、敖汉旗、松山区为重点的高产优质杂粮生产区域和以巴林右旗、克什</w:t>
            </w:r>
            <w:r>
              <w:rPr>
                <w:rFonts w:ascii="仿宋_GB2312" w:hAnsi="仿宋" w:eastAsia="仿宋_GB2312" w:cs="仿宋_GB2312"/>
                <w:sz w:val="28"/>
              </w:rPr>
              <w:t>克腾</w:t>
            </w:r>
            <w:r>
              <w:rPr>
                <w:rFonts w:hint="eastAsia" w:ascii="仿宋_GB2312" w:hAnsi="仿宋" w:eastAsia="仿宋_GB2312" w:cs="仿宋_GB2312"/>
                <w:sz w:val="28"/>
              </w:rPr>
              <w:t>旗、阿鲁</w:t>
            </w:r>
            <w:r>
              <w:rPr>
                <w:rFonts w:ascii="仿宋_GB2312" w:hAnsi="仿宋" w:eastAsia="仿宋_GB2312" w:cs="仿宋_GB2312"/>
                <w:sz w:val="28"/>
              </w:rPr>
              <w:t>科尔沁</w:t>
            </w:r>
            <w:r>
              <w:rPr>
                <w:rFonts w:hint="eastAsia" w:ascii="仿宋_GB2312" w:hAnsi="仿宋" w:eastAsia="仿宋_GB2312" w:cs="仿宋_GB2312"/>
                <w:sz w:val="28"/>
              </w:rPr>
              <w:t>旗、林西县为重点的杂豆生产区。积极发展谷子、高粱、大麦、莜麦、荞麦、绿豆、红小豆等杂粮杂豆生产,推广轻简栽培、标准化生产、滴灌种植、机械化作业等配套技术,量水而行、因地制宜发展旱作绿色有机种植，重点打造优势区域品牌和产品品牌，提高市场知名度和竞争力。注重特色杂粮杂豆生产，提高杂粮品质，主推赤峰特色小米、荞麦、燕麦、绿豆等，做长做好产业链。</w:t>
            </w:r>
          </w:p>
          <w:p w14:paraId="3A8495B2">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7.打造以宁城县、元宝山区、松山区和北部牧业旗为重点的奶业生产区。南部旗县区以荷斯坦奶牛为主，建设优质高产奶源基地；北部牧业旗以乳肉兼用西门塔尔牛为主，建设绿色有机奶源基地，促进地方特色乳制品产业转型升级。</w:t>
            </w:r>
          </w:p>
          <w:p w14:paraId="3BA29A95">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8.打造以阿鲁科尔沁旗、巴林右旗、克什克腾旗、翁牛特旗为重点的北部肉牛产业带，以宁城县、敖汉旗为重点的南部优势养殖肉牛产业带。北部牧业旗以西门塔尔牛为主，建设肉牛繁育基地；南部农区以西门塔尔牛为主，建设育肥牛生产基地。</w:t>
            </w:r>
          </w:p>
          <w:p w14:paraId="4820A165">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9.打造以阿鲁科沁旗、巴林左旗、巴林右旗、林西县、克什克腾旗、翁牛特旗、敖汉旗为重点的草原牧区、半农半牧区和以喀喇沁旗、宁城县、松山区、元宝山区为重点的农区肉羊养殖产业带。在北部克什克腾旗、阿鲁科沁旗、巴林左旗、巴林右旗、翁牛特旗、林西县以昭乌达肉羊为主推品种，推广标准化生产提质增效，占领高端羊肉消费市场；在南部敖汉旗、喀喇沁旗、宁城县、松山区、元宝山区主要以杜泊肉羊等国外品种肉羊种公羊与本地母羊杂交，走集约化、规模化路线，占领羊肉消费大众市场。</w:t>
            </w:r>
          </w:p>
          <w:p w14:paraId="7148BD5C">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10.打造以林西县、翁牛特旗、宁城县、敖汉旗、元宝山区、松山区和为重点的猪产业带，提高</w:t>
            </w:r>
            <w:r>
              <w:rPr>
                <w:rFonts w:hint="eastAsia" w:ascii="仿宋_GB2312" w:hAnsi="仿宋" w:eastAsia="仿宋_GB2312"/>
                <w:sz w:val="28"/>
              </w:rPr>
              <w:t>生猪稳产保供能力，合理确定养殖规模和加工布局，推动生猪生产绿色健康发展。</w:t>
            </w:r>
            <w:r>
              <w:rPr>
                <w:rFonts w:hint="eastAsia" w:ascii="仿宋_GB2312" w:hAnsi="仿宋" w:eastAsia="仿宋_GB2312" w:cs="仿宋_GB2312"/>
                <w:sz w:val="28"/>
              </w:rPr>
              <w:t xml:space="preserve">                                                                                                                                                                                                                                                                                                                                                                                                                                                                                                                                                                                                                                                                                                                                                                                                                                                                                                                                                                                                                                                                                                                                                                                                                                                                                                                                                                                                                                                                                                                                                                                                                                                                                                                                                                                                                                                                                                                                                                                                                                                                                                                                                                                                                                                                                                                                                                                                                                                                                                                                                                                                                                                                                                                                                                                                                                                                                                                                                                                                                                                                                                                                                                                                                                                                                                                                                                                                                                                                                                                                                                                                                                                                                                                                                                                      </w:t>
            </w:r>
          </w:p>
          <w:p w14:paraId="7B2758AB">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11. 打造以阿鲁科尔沁旗、巴林左旗、巴林右旗、林西县、克什克腾旗、翁牛特旗、敖汉旗为重点的饲草产业带。依托中央财政粮改饲试点项目，饲用燕麦种植、羊草种植、苜蓿种植项目等，加快建立规模化、标准化饲草料生产基地，稳步提升饲草供给能力。</w:t>
            </w:r>
          </w:p>
          <w:p w14:paraId="376260E4">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12.打造以林西县、翁牛特旗、喀喇沁旗、宁城县、敖汉旗、松山区为重点的蛋禽产业带，以宁城县、喀喇沁旗、敖汉旗、翁牛特旗为重点的肉禽产业带。加强禽种源基地建设，为禽产业提供充足的禽苗。完善以村为单位的禽类养殖专业小区、专业村，通过发挥典型示范带动作用，促进家禽生产方式向规模化、标准化方向发展。</w:t>
            </w:r>
          </w:p>
          <w:p w14:paraId="473CA17A">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13.建设喀喇沁旗、松山区等地区精耕细作型中药材主产区，林西县、巴林左旗、克什克腾旗、翁牛特旗等地区北沙参、桔梗、防风、黄芪等北方道地优质中蒙药材仿野生栽培主产区，稳步扩大种植规模。</w:t>
            </w:r>
          </w:p>
          <w:p w14:paraId="3631E03C">
            <w:pPr>
              <w:spacing w:line="440" w:lineRule="exact"/>
              <w:ind w:firstLine="560" w:firstLineChars="200"/>
              <w:rPr>
                <w:rFonts w:ascii="仿宋_GB2312" w:hAnsi="仿宋_GB2312" w:eastAsia="仿宋_GB2312" w:cs="仿宋_GB2312"/>
                <w:sz w:val="24"/>
              </w:rPr>
            </w:pPr>
            <w:r>
              <w:rPr>
                <w:rFonts w:hint="eastAsia" w:ascii="仿宋_GB2312" w:hAnsi="仿宋" w:eastAsia="仿宋_GB2312" w:cs="仿宋_GB2312"/>
                <w:sz w:val="28"/>
              </w:rPr>
              <w:t>14.打造以阿鲁科尔沁旗、巴林左旗、巴林右旗、克什克腾旗、翁牛特旗、宁城县、敖汉旗湖泊、水库、河流等大中水面生态养殖渔业。</w:t>
            </w:r>
          </w:p>
        </w:tc>
      </w:tr>
    </w:tbl>
    <w:p w14:paraId="14046362">
      <w:pPr>
        <w:spacing w:after="120" w:line="560" w:lineRule="exact"/>
        <w:jc w:val="center"/>
        <w:outlineLvl w:val="1"/>
        <w:rPr>
          <w:rFonts w:ascii="楷体_GB2312" w:hAnsi="仿宋_GB2312" w:eastAsia="楷体_GB2312" w:cs="仿宋_GB2312"/>
          <w:kern w:val="0"/>
          <w:sz w:val="32"/>
          <w:szCs w:val="32"/>
        </w:rPr>
      </w:pPr>
      <w:bookmarkStart w:id="14" w:name="_Toc94087859"/>
      <w:bookmarkStart w:id="15" w:name="_Toc29067"/>
    </w:p>
    <w:p w14:paraId="7738C289">
      <w:pPr>
        <w:spacing w:after="120" w:line="560" w:lineRule="exact"/>
        <w:jc w:val="center"/>
        <w:outlineLvl w:val="1"/>
        <w:rPr>
          <w:rFonts w:ascii="楷体_GB2312" w:hAnsi="仿宋_GB2312" w:eastAsia="楷体_GB2312" w:cs="仿宋_GB2312"/>
          <w:kern w:val="0"/>
          <w:sz w:val="32"/>
          <w:szCs w:val="32"/>
        </w:rPr>
      </w:pPr>
      <w:r>
        <w:rPr>
          <w:rFonts w:hint="eastAsia" w:ascii="楷体_GB2312" w:hAnsi="仿宋_GB2312" w:eastAsia="楷体_GB2312" w:cs="仿宋_GB2312"/>
          <w:kern w:val="0"/>
          <w:sz w:val="32"/>
          <w:szCs w:val="32"/>
        </w:rPr>
        <w:t>第三节 加强耕地保护与质量建设</w:t>
      </w:r>
      <w:bookmarkEnd w:id="14"/>
    </w:p>
    <w:p w14:paraId="09FEA3E9">
      <w:pPr>
        <w:spacing w:line="560" w:lineRule="exact"/>
      </w:pPr>
    </w:p>
    <w:p w14:paraId="7B3C11C7">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kern w:val="0"/>
          <w:sz w:val="32"/>
          <w:szCs w:val="32"/>
        </w:rPr>
        <w:t>1.落实最严格的耕地保护制度。</w:t>
      </w:r>
      <w:r>
        <w:rPr>
          <w:rFonts w:hint="eastAsia" w:ascii="仿宋_GB2312" w:hAnsi="仿宋" w:eastAsia="仿宋_GB2312" w:cs="仿宋_GB2312"/>
          <w:kern w:val="0"/>
          <w:sz w:val="32"/>
          <w:szCs w:val="32"/>
        </w:rPr>
        <w:t>牢牢守住耕地红线和永久基本农田保护面积，实施数量与质量并重的耕地保护措施。加强用途管制，规范占补平衡，强化土地流转用途监管，推进撂荒地利用，严禁违规占用耕地造林绿化、挖湖造景、挖塘养鱼，严格控制非农建设占用耕地，坚决遏制耕地“非农化”、防止“非粮化”。</w:t>
      </w:r>
    </w:p>
    <w:p w14:paraId="0784C83D">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kern w:val="0"/>
          <w:sz w:val="32"/>
          <w:szCs w:val="32"/>
        </w:rPr>
        <w:t>2.建立健全耕地质量监测网络。</w:t>
      </w:r>
      <w:r>
        <w:rPr>
          <w:rFonts w:ascii="仿宋_GB2312" w:hAnsi="仿宋" w:eastAsia="仿宋_GB2312" w:cs="仿宋_GB2312"/>
          <w:kern w:val="0"/>
          <w:sz w:val="32"/>
          <w:szCs w:val="32"/>
        </w:rPr>
        <w:t>科学布局监测站点，按照每10万亩耕地至少建设一个监测点的要求，综合考虑现有监测点的数量、耕地面积、土壤类型、种植制度、产量水平、重点流域区域、耕地环境状况和后期管理维护水平等因素，建设完整的、覆盖全部耕地的耕地质量监测网络，并长期运行良好。开展耕地质量调查评价，按年度实施耕地质量等级评价工作，逐步增加土壤样品采集和各种评价指标的调查覆盖密度，确保评价质量。</w:t>
      </w:r>
    </w:p>
    <w:p w14:paraId="074DE18C">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kern w:val="0"/>
          <w:sz w:val="32"/>
          <w:szCs w:val="32"/>
        </w:rPr>
        <w:t>3.深入推进高标准农田建设。</w:t>
      </w:r>
      <w:r>
        <w:rPr>
          <w:rFonts w:ascii="仿宋_GB2312" w:hAnsi="仿宋" w:eastAsia="仿宋_GB2312" w:cs="仿宋_GB2312"/>
          <w:kern w:val="0"/>
          <w:sz w:val="32"/>
          <w:szCs w:val="32"/>
        </w:rPr>
        <w:t>全力推动以高效节水为核心的高标准农田建设和旱作高标准农田建设。</w:t>
      </w:r>
      <w:r>
        <w:rPr>
          <w:rFonts w:hint="eastAsia" w:ascii="仿宋_GB2312" w:hAnsi="仿宋" w:eastAsia="仿宋_GB2312" w:cs="仿宋_GB2312"/>
          <w:kern w:val="0"/>
          <w:sz w:val="32"/>
          <w:szCs w:val="32"/>
        </w:rPr>
        <w:t>制定“十四五”高标准农田建设规划，高标准农田全部上图入库并与国土空间规划、水资源利用规划等有效衔接，科学布局高标准农田，优先在永久基本农田保护区、粮食生产功能区、重要农产品生产保护区建设高标准农田。合理安排已建高标准农田改造提升，不断提升高标准农田质量。力争到2025年，新建高效节水高标准农田</w:t>
      </w:r>
      <w:r>
        <w:rPr>
          <w:rFonts w:ascii="仿宋_GB2312" w:hAnsi="仿宋" w:eastAsia="仿宋_GB2312" w:cs="仿宋_GB2312"/>
          <w:kern w:val="0"/>
          <w:sz w:val="32"/>
          <w:szCs w:val="32"/>
        </w:rPr>
        <w:t>200</w:t>
      </w:r>
      <w:r>
        <w:rPr>
          <w:rFonts w:hint="eastAsia" w:ascii="仿宋_GB2312" w:hAnsi="仿宋" w:eastAsia="仿宋_GB2312" w:cs="仿宋_GB2312"/>
          <w:kern w:val="0"/>
          <w:sz w:val="32"/>
          <w:szCs w:val="32"/>
        </w:rPr>
        <w:t>万亩、旱作高标准农田</w:t>
      </w:r>
      <w:r>
        <w:rPr>
          <w:rFonts w:ascii="仿宋_GB2312" w:hAnsi="仿宋" w:eastAsia="仿宋_GB2312" w:cs="仿宋_GB2312"/>
          <w:kern w:val="0"/>
          <w:sz w:val="32"/>
          <w:szCs w:val="32"/>
        </w:rPr>
        <w:t>180</w:t>
      </w:r>
      <w:r>
        <w:rPr>
          <w:rFonts w:hint="eastAsia" w:ascii="仿宋_GB2312" w:hAnsi="仿宋" w:eastAsia="仿宋_GB2312" w:cs="仿宋_GB2312"/>
          <w:kern w:val="0"/>
          <w:sz w:val="32"/>
          <w:szCs w:val="32"/>
        </w:rPr>
        <w:t>万亩，改造提升高标准农田1</w:t>
      </w:r>
      <w:r>
        <w:rPr>
          <w:rFonts w:ascii="仿宋_GB2312" w:hAnsi="仿宋" w:eastAsia="仿宋_GB2312" w:cs="仿宋_GB2312"/>
          <w:kern w:val="0"/>
          <w:sz w:val="32"/>
          <w:szCs w:val="32"/>
        </w:rPr>
        <w:t>00</w:t>
      </w:r>
      <w:r>
        <w:rPr>
          <w:rFonts w:hint="eastAsia" w:ascii="仿宋_GB2312" w:hAnsi="仿宋" w:eastAsia="仿宋_GB2312" w:cs="仿宋_GB2312"/>
          <w:kern w:val="0"/>
          <w:sz w:val="32"/>
          <w:szCs w:val="32"/>
        </w:rPr>
        <w:t>万亩。</w:t>
      </w:r>
    </w:p>
    <w:p w14:paraId="7AF92418">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kern w:val="0"/>
          <w:sz w:val="32"/>
          <w:szCs w:val="32"/>
        </w:rPr>
        <w:t>4.全面加强耕地质量建设。</w:t>
      </w:r>
      <w:r>
        <w:rPr>
          <w:rFonts w:ascii="仿宋_GB2312" w:hAnsi="仿宋" w:eastAsia="仿宋_GB2312" w:cs="仿宋_GB2312"/>
          <w:kern w:val="0"/>
          <w:sz w:val="32"/>
          <w:szCs w:val="32"/>
        </w:rPr>
        <w:t>加强以高标准农田建设、黑土地保护与提升、保护性耕作等重大项目为核心的耕地质量提升建设。实施耕地保护与质量提升行动计划，开展秸秆还田，测土配方施肥、增施有机肥，种植绿肥还田，增加土壤有机质，提升土壤肥力，加强深耕、深松，建设培育深厚的耕作层。加强退化耕地治理。坚持分类分区治理，集成推广土壤改良、地力培肥、治理修复等技术，有序推进退化耕地治理。</w:t>
      </w:r>
    </w:p>
    <w:p w14:paraId="1F71CAE9">
      <w:pPr>
        <w:rPr>
          <w:rFonts w:hint="eastAsia"/>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857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24CCC476">
            <w:pPr>
              <w:spacing w:line="580" w:lineRule="exact"/>
              <w:jc w:val="center"/>
              <w:rPr>
                <w:rFonts w:ascii="仿宋_GB2312" w:eastAsia="仿宋_GB2312"/>
                <w:sz w:val="28"/>
                <w:szCs w:val="28"/>
              </w:rPr>
            </w:pPr>
            <w:r>
              <w:rPr>
                <w:rFonts w:hint="eastAsia" w:ascii="黑体" w:hAnsi="黑体" w:eastAsia="黑体" w:cs="黑体"/>
                <w:sz w:val="28"/>
                <w:szCs w:val="28"/>
              </w:rPr>
              <w:t>专栏：加强耕地保护与质量建设</w:t>
            </w:r>
          </w:p>
        </w:tc>
      </w:tr>
      <w:tr w14:paraId="6DCA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1A530EF9">
            <w:pPr>
              <w:spacing w:line="440" w:lineRule="exact"/>
              <w:ind w:firstLine="560" w:firstLineChars="200"/>
              <w:rPr>
                <w:rFonts w:ascii="仿宋_GB2312" w:eastAsia="仿宋_GB2312"/>
                <w:sz w:val="28"/>
              </w:rPr>
            </w:pPr>
            <w:r>
              <w:rPr>
                <w:rFonts w:hint="eastAsia" w:ascii="仿宋_GB2312" w:eastAsia="仿宋_GB2312"/>
                <w:sz w:val="28"/>
              </w:rPr>
              <w:t>1.高标准农田建设。聚焦粮食生产大县和粮食生产功能区、重要农产品生产保护区，确保高标准农田项目全面配套高效节水措施，到2025年建设高标准农田力480万亩，其中，新建高标准农田165万亩、旱作水平梯田165万亩，改造提升老旧失修农田建设项目150万亩。</w:t>
            </w:r>
          </w:p>
          <w:p w14:paraId="236A5882">
            <w:pPr>
              <w:spacing w:line="440" w:lineRule="exact"/>
              <w:ind w:firstLine="560" w:firstLineChars="200"/>
              <w:rPr>
                <w:rFonts w:ascii="仿宋_GB2312" w:eastAsia="仿宋_GB2312"/>
                <w:sz w:val="28"/>
              </w:rPr>
            </w:pPr>
            <w:r>
              <w:rPr>
                <w:rFonts w:hint="eastAsia" w:ascii="仿宋_GB2312" w:eastAsia="仿宋_GB2312"/>
                <w:sz w:val="28"/>
              </w:rPr>
              <w:t>2.黑土地保护性耕作行动计划。推广秸秆覆盖还田免（少）耕播种技术，增加土壤肥力和保墒抗旱能力。</w:t>
            </w:r>
          </w:p>
          <w:p w14:paraId="65871BA0">
            <w:pPr>
              <w:spacing w:line="440" w:lineRule="exact"/>
              <w:ind w:firstLine="560" w:firstLineChars="200"/>
              <w:rPr>
                <w:rFonts w:ascii="仿宋_GB2312" w:eastAsia="仿宋_GB2312"/>
                <w:sz w:val="24"/>
              </w:rPr>
            </w:pPr>
            <w:r>
              <w:rPr>
                <w:rFonts w:hint="eastAsia" w:ascii="仿宋_GB2312" w:eastAsia="仿宋_GB2312"/>
                <w:sz w:val="28"/>
              </w:rPr>
              <w:t>3.农业机械化。稳定实施农机购置补贴政策。力争再创建2个农作物生产全程机械化示范县，到2025年达到6个。积极推进农机耕地深松。</w:t>
            </w:r>
          </w:p>
        </w:tc>
      </w:tr>
    </w:tbl>
    <w:p w14:paraId="2FAC873D">
      <w:pPr>
        <w:spacing w:line="560" w:lineRule="exact"/>
        <w:jc w:val="center"/>
        <w:outlineLvl w:val="1"/>
        <w:rPr>
          <w:rFonts w:ascii="楷体_GB2312" w:hAnsi="楷体_GB2312" w:eastAsia="楷体_GB2312" w:cs="楷体_GB2312"/>
          <w:bCs/>
          <w:kern w:val="0"/>
          <w:sz w:val="32"/>
          <w:szCs w:val="32"/>
        </w:rPr>
      </w:pPr>
      <w:bookmarkStart w:id="16" w:name="_Toc94087861"/>
    </w:p>
    <w:p w14:paraId="232825C7">
      <w:pPr>
        <w:spacing w:line="560" w:lineRule="exact"/>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第四节 推进创新驱动发展</w:t>
      </w:r>
      <w:bookmarkEnd w:id="16"/>
    </w:p>
    <w:p w14:paraId="638CAC78">
      <w:pPr>
        <w:spacing w:line="560" w:lineRule="exact"/>
        <w:outlineLvl w:val="1"/>
        <w:rPr>
          <w:rFonts w:ascii="楷体_GB2312" w:hAnsi="楷体_GB2312" w:eastAsia="楷体_GB2312" w:cs="楷体_GB2312"/>
          <w:bCs/>
          <w:kern w:val="0"/>
          <w:sz w:val="32"/>
          <w:szCs w:val="32"/>
        </w:rPr>
      </w:pPr>
    </w:p>
    <w:p w14:paraId="46485A6A">
      <w:pPr>
        <w:spacing w:line="560" w:lineRule="exact"/>
        <w:ind w:firstLine="640" w:firstLineChars="200"/>
        <w:outlineLvl w:val="1"/>
        <w:rPr>
          <w:rFonts w:ascii="仿宋_GB2312" w:hAnsi="仿宋" w:eastAsia="仿宋_GB2312" w:cs="仿宋_GB2312"/>
          <w:kern w:val="0"/>
          <w:sz w:val="32"/>
          <w:szCs w:val="32"/>
        </w:rPr>
      </w:pPr>
      <w:bookmarkStart w:id="17" w:name="_Toc94087862"/>
      <w:r>
        <w:rPr>
          <w:rFonts w:hint="eastAsia" w:ascii="楷体_GB2312" w:hAnsi="仿宋" w:eastAsia="楷体_GB2312" w:cs="楷体_GB2312"/>
          <w:kern w:val="0"/>
          <w:sz w:val="32"/>
          <w:szCs w:val="32"/>
        </w:rPr>
        <w:t>1.强化现代农牧业科技支撑</w:t>
      </w:r>
      <w:bookmarkEnd w:id="17"/>
      <w:r>
        <w:rPr>
          <w:rFonts w:hint="eastAsia" w:ascii="楷体_GB2312" w:hAnsi="仿宋" w:eastAsia="楷体_GB2312" w:cs="楷体_GB2312"/>
          <w:kern w:val="0"/>
          <w:sz w:val="32"/>
          <w:szCs w:val="32"/>
        </w:rPr>
        <w:t>。</w:t>
      </w:r>
      <w:r>
        <w:rPr>
          <w:rFonts w:hint="eastAsia" w:ascii="仿宋_GB2312" w:hAnsi="仿宋" w:eastAsia="仿宋_GB2312" w:cs="仿宋_GB2312"/>
          <w:kern w:val="0"/>
          <w:sz w:val="32"/>
          <w:szCs w:val="32"/>
        </w:rPr>
        <w:t>加强农牧业科技创新能力建设。实施农牧业科技支撑行动，加强农牧业重大技术协同推广，强化农牧业科技项目储备和科技创新平台建设。引进和设立院士工作站、博士工作站，深化与科研院所、高等院校全方位合作，依托国家玉米、谷子等10个现代农业产业技术体系赤峰试验站建设，围绕农牧业高质量发展重点领域，聚焦现代种业、高效种养殖、耕地保护和质量提升、草畜一体化、农作物病虫害绿色防控、动物重大疫病防控、农作物病虫疫情监测防控、农田土壤墒情监测、农牧业废弃物综合利用、智慧农牧业、农牧业机械装备补短板、农牧业绿色投入品等关键环节，着力突破制约我市农牧业发展的关键技术问题，努力突破关键核心技术瓶颈，加快研发与创新一批关键核心技术及产品。加强与农牧业产业化龙头企业、专业合作社等经营主体的对接合作，促进科技与产业深度融合和一体化发展，促进农牧业转型升级。到2025年，农牧业科技进步贡献率达到62.5%。</w:t>
      </w:r>
    </w:p>
    <w:p w14:paraId="676FC74F">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加快科技成果转化应用及示范推广。打造农牧业科技成果转移转化平台，加速农牧业科技成果转化应用。鼓励农牧业科研机构、高等院校采取转让、许可或者作价投资等方式，向农牧企业、农牧民合作社等新型经营主体转移科技成果，让科技成果走出实验室，成为现实生产力。推进农牧业产业重点领域配套技术集成应用,加快科技成果推广示范，按照示范推广到位、培训指导到位、产业引领到位的要求，建设30个以上长期稳定的农牧业科技示范基地，每个基地每年开展2项以上先进适用技术模式试验示范和5次以上观摩培训活动。</w:t>
      </w:r>
    </w:p>
    <w:p w14:paraId="1FC78ED4">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健全基层农技推广服务体系。依托基层农技推广体系建设项目，健全良种繁育和技术推广体系，切实搞好基层农技推广人员知识更新培训，深入开展大培训大比武大下乡活动，培育一批“土专家”、“田秀才”，充实基层农技推广队伍，着力强化基层农技推广人员创新能力和服务能力。完善和巩固以“专家定点联系到县、农技人员包村联户”为主要形式的工作机制，推广“专家+农技人员+科技示范户+辐射带动户”的技术服务模式，畅通农技服务最后一公里。深化国家重大科技协同推广计划试点工作，突出主导产业，聚焦产业发展的重点难点技术问题，扩大试点示范成果，实现农技服务与生产需求有效对接。</w:t>
      </w:r>
    </w:p>
    <w:p w14:paraId="666086A8">
      <w:pPr>
        <w:spacing w:line="560" w:lineRule="exact"/>
        <w:ind w:firstLine="640" w:firstLineChars="200"/>
        <w:outlineLvl w:val="1"/>
        <w:rPr>
          <w:rFonts w:ascii="仿宋_GB2312" w:hAnsi="仿宋" w:eastAsia="仿宋_GB2312" w:cs="仿宋_GB2312"/>
          <w:kern w:val="0"/>
          <w:sz w:val="32"/>
          <w:szCs w:val="32"/>
        </w:rPr>
      </w:pPr>
      <w:bookmarkStart w:id="18" w:name="_Toc94087863"/>
      <w:r>
        <w:rPr>
          <w:rFonts w:hint="eastAsia" w:ascii="楷体_GB2312" w:hAnsi="仿宋" w:eastAsia="楷体_GB2312" w:cs="楷体_GB2312"/>
          <w:kern w:val="0"/>
          <w:sz w:val="32"/>
          <w:szCs w:val="32"/>
        </w:rPr>
        <w:t>2.发展现代种业</w:t>
      </w:r>
      <w:bookmarkEnd w:id="18"/>
      <w:bookmarkStart w:id="19" w:name="_Toc69550163"/>
      <w:bookmarkStart w:id="20" w:name="_Toc31551"/>
      <w:bookmarkStart w:id="21" w:name="_Toc20782"/>
      <w:r>
        <w:rPr>
          <w:rFonts w:hint="eastAsia" w:ascii="楷体_GB2312" w:hAnsi="仿宋" w:eastAsia="楷体_GB2312" w:cs="楷体_GB2312"/>
          <w:kern w:val="0"/>
          <w:sz w:val="32"/>
          <w:szCs w:val="32"/>
        </w:rPr>
        <w:t>。</w:t>
      </w:r>
      <w:bookmarkEnd w:id="19"/>
      <w:bookmarkEnd w:id="20"/>
      <w:bookmarkStart w:id="22" w:name="_Toc94087864"/>
      <w:r>
        <w:rPr>
          <w:rFonts w:hint="eastAsia" w:ascii="仿宋_GB2312" w:hAnsi="仿宋" w:eastAsia="仿宋_GB2312" w:cs="仿宋_GB2312"/>
          <w:kern w:val="0"/>
          <w:sz w:val="32"/>
          <w:szCs w:val="32"/>
        </w:rPr>
        <w:t>实施种质资源保护利用工程</w:t>
      </w:r>
      <w:bookmarkEnd w:id="21"/>
      <w:r>
        <w:rPr>
          <w:rFonts w:hint="eastAsia" w:ascii="仿宋_GB2312" w:hAnsi="仿宋" w:eastAsia="仿宋_GB2312" w:cs="仿宋_GB2312"/>
          <w:kern w:val="0"/>
          <w:sz w:val="32"/>
          <w:szCs w:val="32"/>
        </w:rPr>
        <w:t>。</w:t>
      </w:r>
      <w:r>
        <w:rPr>
          <w:rFonts w:ascii="仿宋_GB2312" w:hAnsi="仿宋" w:eastAsia="仿宋_GB2312" w:cs="仿宋_GB2312"/>
          <w:kern w:val="0"/>
          <w:sz w:val="32"/>
          <w:szCs w:val="32"/>
        </w:rPr>
        <w:t>全面开展农牧业种质资源普查工作，摸清资源家底，抢救性收集珍稀、濒危、特有资源与特色地方品种。开展畜禽遗传资源生产性能测定工作，推进优异种质资源创制与应用。加强农作物种质资源库建设，建立健全农牧业种质资源数据库。</w:t>
      </w:r>
      <w:bookmarkEnd w:id="22"/>
      <w:bookmarkStart w:id="23" w:name="_Toc14160"/>
    </w:p>
    <w:p w14:paraId="6496ADAA">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实施优势特色品种培育工程</w:t>
      </w:r>
      <w:bookmarkEnd w:id="23"/>
      <w:r>
        <w:rPr>
          <w:rFonts w:hint="eastAsia" w:ascii="仿宋_GB2312" w:hAnsi="仿宋" w:eastAsia="仿宋_GB2312" w:cs="仿宋_GB2312"/>
          <w:kern w:val="0"/>
          <w:sz w:val="32"/>
          <w:szCs w:val="32"/>
        </w:rPr>
        <w:t>。围绕我市优势特色产业，加大农作物主栽品种研发力度，提高玉米、蔬菜、杂粮杂豆、饲草等优质品种自给率，培育具有自主知识产权的绿色、优质、抗逆、宜机作业农作物新品种15个以上。开展肉牛、肉羊、生猪、鸡、肉鸭等畜禽种源关键核心技术攻关，培育高繁、高产、优质畜禽新品种，推进昭乌达肉牛通过国家新品种审定，提升昭乌达肉羊品种品质，努力实现种源自主可控。强化企业技术创新的主体地位，支持种业龙头企业建立商业化育种体系和种业创新联合体，促进产学研深度融合、育繁推一体化发展。</w:t>
      </w:r>
      <w:bookmarkStart w:id="24" w:name="_Toc27275"/>
    </w:p>
    <w:bookmarkEnd w:id="24"/>
    <w:p w14:paraId="5492B4A8">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加强种业基地建设。积极争取国家制种基地、良种繁育基地项目，加大地方财政资金补贴力度，加强玉米、杂粮杂豆、优质牧草等农作物制繁种基地和肉牛、肉羊、生猪、肉鸡、肉鸭等畜禽良种繁育基地建设，完善良种繁育和生物安全防护设施条件。建成自治区东部设施蔬菜种业技术创新中心、赤峰市农牧业科技产业园（核心区）和赤峰市农牧科学研究所试验示范基地。打造国家级肉牛核心育种场，提升昭乌达肉羊国家核心育种场育种水平，强化肉牛、肉羊优质种源供给能力，加快推进优良良种推广应用步伐。强化种业市场监管，严格品种管理，开展保护种业知识产权专项整治，净化种业市场环境。到2025年，全市农作物良种繁育面积稳定在12万亩以上，主要农作物良种覆盖率达到98%以上，建成昭乌达肉牛核心育种场10个、昭乌达肉羊扩繁场10个，</w:t>
      </w:r>
      <w:r>
        <w:rPr>
          <w:rFonts w:ascii="仿宋_GB2312" w:hAnsi="仿宋" w:eastAsia="仿宋_GB2312" w:cs="仿宋_GB2312"/>
          <w:kern w:val="0"/>
          <w:sz w:val="32"/>
          <w:szCs w:val="32"/>
        </w:rPr>
        <w:t>主要畜禽良改率达到97%</w:t>
      </w:r>
      <w:r>
        <w:rPr>
          <w:rFonts w:hint="eastAsia" w:ascii="仿宋_GB2312" w:hAnsi="仿宋" w:eastAsia="仿宋_GB2312" w:cs="仿宋_GB2312"/>
          <w:kern w:val="0"/>
          <w:sz w:val="32"/>
          <w:szCs w:val="32"/>
        </w:rPr>
        <w:t>。</w:t>
      </w:r>
    </w:p>
    <w:p w14:paraId="3078A420"/>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C07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78796A87">
            <w:pPr>
              <w:spacing w:after="120" w:line="580" w:lineRule="exact"/>
              <w:jc w:val="center"/>
              <w:rPr>
                <w:rFonts w:ascii="仿宋_GB2312" w:eastAsia="仿宋_GB2312"/>
                <w:sz w:val="28"/>
                <w:szCs w:val="28"/>
              </w:rPr>
            </w:pPr>
            <w:r>
              <w:rPr>
                <w:rFonts w:hint="eastAsia" w:ascii="黑体" w:hAnsi="黑体" w:eastAsia="黑体" w:cs="黑体"/>
                <w:sz w:val="28"/>
                <w:szCs w:val="28"/>
              </w:rPr>
              <w:t>专栏：发展现代种业</w:t>
            </w:r>
          </w:p>
        </w:tc>
      </w:tr>
      <w:tr w14:paraId="312D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5E767F71">
            <w:pPr>
              <w:spacing w:line="420" w:lineRule="exact"/>
              <w:ind w:firstLine="560" w:firstLineChars="200"/>
              <w:rPr>
                <w:rFonts w:ascii="仿宋_GB2312" w:eastAsia="仿宋_GB2312"/>
                <w:bCs/>
                <w:sz w:val="28"/>
              </w:rPr>
            </w:pPr>
            <w:r>
              <w:rPr>
                <w:rFonts w:hint="eastAsia" w:ascii="仿宋_GB2312" w:eastAsia="仿宋_GB2312"/>
                <w:sz w:val="28"/>
              </w:rPr>
              <w:t>1. 内蒙古东部作物种质资源库建设。</w:t>
            </w:r>
            <w:r>
              <w:rPr>
                <w:rFonts w:hint="eastAsia" w:ascii="仿宋_GB2312" w:eastAsia="仿宋_GB2312"/>
                <w:bCs/>
                <w:sz w:val="28"/>
              </w:rPr>
              <w:t>收集内蒙古东部及周边地区农作物种质资源，为培育适宜内蒙古及周边地区种植的农作物新品种，促进粮食增产提供种质资源，力争将内蒙古东部作物种质资源库建设成国家级种质资源库或国家级备用库。</w:t>
            </w:r>
          </w:p>
          <w:p w14:paraId="133B2C08">
            <w:pPr>
              <w:spacing w:line="420" w:lineRule="exact"/>
              <w:ind w:firstLine="560" w:firstLineChars="200"/>
              <w:rPr>
                <w:rFonts w:ascii="仿宋_GB2312" w:eastAsia="仿宋_GB2312"/>
                <w:sz w:val="28"/>
              </w:rPr>
            </w:pPr>
            <w:r>
              <w:rPr>
                <w:rFonts w:hint="eastAsia" w:ascii="仿宋_GB2312" w:eastAsia="仿宋_GB2312"/>
                <w:sz w:val="28"/>
              </w:rPr>
              <w:t>2.粮食、饲草良种繁育基地建设。支持翁牛特旗创建国家级玉米制种大县，提升松山区国家级玉米制种大县良种繁育能力。推进敖汉杂粮杂豆良种繁育基地建设，提升杂粮杂豆良种繁育水平。加快敖汉苜蓿的提纯复壮和良种扩繁，使敖汉苜蓿的优良性状得到恢复或创造新的优良性状，扩大敖汉苜蓿良种供给量。在敖汉苜蓿原产地敖汉旗和苜蓿种植面积较大的林西县建立原种繁殖田66亩，良种扩繁田340亩，示范田200亩。</w:t>
            </w:r>
          </w:p>
          <w:p w14:paraId="1EDF2C0D">
            <w:pPr>
              <w:spacing w:line="420" w:lineRule="exact"/>
              <w:ind w:firstLine="560" w:firstLineChars="200"/>
              <w:rPr>
                <w:rFonts w:ascii="仿宋_GB2312" w:eastAsia="仿宋_GB2312"/>
                <w:sz w:val="28"/>
              </w:rPr>
            </w:pPr>
            <w:r>
              <w:rPr>
                <w:rFonts w:hint="eastAsia" w:ascii="仿宋_GB2312" w:eastAsia="仿宋_GB2312"/>
                <w:sz w:val="28"/>
              </w:rPr>
              <w:t>3.内蒙古自治区设施蔬菜种业技术创新中心建设。扩充设施蔬菜种质基因库、建立资源评价体系与创制优异种质，设施蔬菜新品种引育和标准化种子种苗繁育技术集成，研究、集成示范设施蔬菜生产关键技术。</w:t>
            </w:r>
          </w:p>
          <w:p w14:paraId="570F2E08">
            <w:pPr>
              <w:spacing w:line="420" w:lineRule="exact"/>
              <w:ind w:firstLine="560" w:firstLineChars="200"/>
              <w:rPr>
                <w:rFonts w:ascii="仿宋_GB2312" w:eastAsia="仿宋_GB2312"/>
                <w:sz w:val="28"/>
              </w:rPr>
            </w:pPr>
            <w:r>
              <w:rPr>
                <w:rFonts w:hint="eastAsia" w:ascii="仿宋_GB2312" w:eastAsia="仿宋_GB2312"/>
                <w:sz w:val="28"/>
              </w:rPr>
              <w:t>4.农作物品种展示评价体系建设。打造农作物看禾选种展示平台，建立品种试验站，加快农作物良种推广应用。</w:t>
            </w:r>
          </w:p>
          <w:p w14:paraId="097620D4">
            <w:pPr>
              <w:spacing w:line="420" w:lineRule="exact"/>
              <w:ind w:firstLine="560" w:firstLineChars="200"/>
              <w:rPr>
                <w:rFonts w:ascii="仿宋_GB2312" w:eastAsia="仿宋_GB2312"/>
                <w:sz w:val="28"/>
              </w:rPr>
            </w:pPr>
            <w:r>
              <w:rPr>
                <w:rFonts w:hint="eastAsia" w:ascii="仿宋_GB2312" w:eastAsia="仿宋_GB2312"/>
                <w:sz w:val="28"/>
              </w:rPr>
              <w:t>5.赤峰市种公牛站建设。总投资1.47亿元，种公牛存栏180头，基础母牛存栏300头以上，年产150万剂冻精供种能力。开展肉牛育种核心技术攻关，昭乌达肉牛通过国家新品种审定，力争2025年创建成为国家级核心育种场。</w:t>
            </w:r>
          </w:p>
          <w:p w14:paraId="1EE8D1EB">
            <w:pPr>
              <w:spacing w:line="420" w:lineRule="exact"/>
              <w:ind w:firstLine="560" w:firstLineChars="200"/>
              <w:rPr>
                <w:rFonts w:ascii="仿宋_GB2312" w:eastAsia="仿宋_GB2312"/>
                <w:sz w:val="28"/>
              </w:rPr>
            </w:pPr>
            <w:r>
              <w:rPr>
                <w:rFonts w:hint="eastAsia" w:ascii="仿宋_GB2312" w:eastAsia="仿宋_GB2312"/>
                <w:sz w:val="28"/>
              </w:rPr>
              <w:t>6.昭乌达肉羊核心育种场建设。提升昭乌达肉羊国家级核心育种场建设水平，实现种源自主可控。</w:t>
            </w:r>
          </w:p>
          <w:p w14:paraId="0BE81292">
            <w:pPr>
              <w:spacing w:line="420" w:lineRule="exact"/>
              <w:ind w:firstLine="560" w:firstLineChars="200"/>
              <w:rPr>
                <w:rFonts w:ascii="仿宋_GB2312" w:eastAsia="仿宋_GB2312"/>
                <w:sz w:val="28"/>
              </w:rPr>
            </w:pPr>
            <w:r>
              <w:rPr>
                <w:rFonts w:hint="eastAsia" w:ascii="仿宋_GB2312" w:eastAsia="仿宋_GB2312"/>
                <w:sz w:val="28"/>
              </w:rPr>
              <w:t>7.培育壮大种业企业。支持种业龙头企业建立商业化育种体系和种业创新联合体，促进产学研深度融合、育繁推一体化发展。</w:t>
            </w:r>
          </w:p>
          <w:p w14:paraId="34430F3F">
            <w:pPr>
              <w:spacing w:line="420" w:lineRule="exact"/>
              <w:ind w:firstLine="560" w:firstLineChars="200"/>
              <w:rPr>
                <w:rFonts w:ascii="仿宋_GB2312" w:eastAsia="仿宋_GB2312"/>
                <w:sz w:val="24"/>
              </w:rPr>
            </w:pPr>
            <w:r>
              <w:rPr>
                <w:rFonts w:hint="eastAsia" w:ascii="仿宋_GB2312" w:eastAsia="仿宋_GB2312"/>
                <w:sz w:val="28"/>
              </w:rPr>
              <w:t>8.开展种业创新攻关。支持赤峰市农牧科学研究所等科研机构和种业龙头企业开展玉米、杂粮杂豆等重点农作物良种研发，培育优质畜禽品种。</w:t>
            </w:r>
          </w:p>
        </w:tc>
      </w:tr>
    </w:tbl>
    <w:p w14:paraId="36EE9D50">
      <w:pPr>
        <w:spacing w:line="20" w:lineRule="exact"/>
        <w:jc w:val="left"/>
        <w:outlineLvl w:val="1"/>
        <w:rPr>
          <w:rFonts w:ascii="仿宋_GB2312" w:hAnsi="仿宋" w:eastAsia="仿宋_GB2312" w:cs="仿宋"/>
          <w:b/>
          <w:bCs/>
          <w:kern w:val="0"/>
          <w:sz w:val="32"/>
          <w:szCs w:val="32"/>
        </w:rPr>
      </w:pPr>
      <w:bookmarkStart w:id="25" w:name="_Toc94087865"/>
    </w:p>
    <w:p w14:paraId="1A9CBAAD">
      <w:pPr>
        <w:spacing w:line="560" w:lineRule="exact"/>
        <w:ind w:firstLine="640" w:firstLineChars="200"/>
        <w:outlineLvl w:val="1"/>
        <w:rPr>
          <w:rFonts w:ascii="楷体_GB2312" w:hAnsi="仿宋" w:eastAsia="楷体_GB2312" w:cs="楷体_GB2312"/>
          <w:kern w:val="0"/>
          <w:sz w:val="32"/>
          <w:szCs w:val="32"/>
        </w:rPr>
      </w:pPr>
    </w:p>
    <w:p w14:paraId="2EBC158F">
      <w:pPr>
        <w:spacing w:line="560" w:lineRule="exact"/>
        <w:ind w:firstLine="640" w:firstLineChars="200"/>
        <w:outlineLvl w:val="1"/>
        <w:rPr>
          <w:rFonts w:ascii="仿宋_GB2312" w:hAnsi="仿宋" w:eastAsia="仿宋_GB2312" w:cs="仿宋_GB2312"/>
          <w:kern w:val="0"/>
          <w:sz w:val="32"/>
          <w:szCs w:val="32"/>
        </w:rPr>
      </w:pPr>
      <w:r>
        <w:rPr>
          <w:rFonts w:hint="eastAsia" w:ascii="楷体_GB2312" w:hAnsi="仿宋" w:eastAsia="楷体_GB2312" w:cs="楷体_GB2312"/>
          <w:kern w:val="0"/>
          <w:sz w:val="32"/>
          <w:szCs w:val="32"/>
        </w:rPr>
        <w:t>3.加快农牧业机械化发展。</w:t>
      </w:r>
      <w:r>
        <w:rPr>
          <w:rFonts w:hint="eastAsia" w:ascii="仿宋_GB2312" w:hAnsi="仿宋" w:eastAsia="仿宋_GB2312" w:cs="仿宋_GB2312"/>
          <w:kern w:val="0"/>
          <w:sz w:val="32"/>
          <w:szCs w:val="32"/>
        </w:rPr>
        <w:t>坚持绿色生态导向，推动农牧业机械化向全程全面高质高效升级。稳定实施农机购置补贴政策，大力推广大中型、智能化、复合型、绿色化农机装备应用，切实提升农牧业机械装备使用效率。健全农作物全程机械化生产体系，加快适合丘陵山区农牧业生产高效专用农机应用，重点针对免耕播种、高效植保、机械化收获、产地烘干等短板环节和畜牧养殖、设施农业和农产品初加工等重点领域，加快推进品种、生产技术、装备集成应用，促进良种良法配套、农机农艺融合，全力推进农牧业生产全程全面机械化。加强机耕道、场库棚、烘干机塔等配套设施建设，发展“全程机械化+综合农事”等农机服务新模式。到“十四五”期末，全市农机总动力稳定在750万千瓦，农作物耕种收综合机械化率达到85</w:t>
      </w:r>
      <w:r>
        <w:rPr>
          <w:rFonts w:ascii="仿宋_GB2312" w:hAnsi="仿宋" w:eastAsia="仿宋_GB2312" w:cs="仿宋_GB2312"/>
          <w:kern w:val="0"/>
          <w:sz w:val="32"/>
          <w:szCs w:val="32"/>
        </w:rPr>
        <w:t>.5</w:t>
      </w:r>
      <w:r>
        <w:rPr>
          <w:rFonts w:hint="eastAsia" w:ascii="仿宋_GB2312" w:hAnsi="仿宋" w:eastAsia="仿宋_GB2312" w:cs="仿宋_GB2312"/>
          <w:kern w:val="0"/>
          <w:sz w:val="32"/>
          <w:szCs w:val="32"/>
        </w:rPr>
        <w:t>%以上,丘陵山区旗县农作物耕种收综合机械化率达到84%左右。小麦、玉米、水稻等主要粮食作物耕种收综合机械化率稳定在</w:t>
      </w:r>
      <w:r>
        <w:rPr>
          <w:rFonts w:ascii="仿宋_GB2312" w:hAnsi="仿宋" w:eastAsia="仿宋_GB2312" w:cs="仿宋_GB2312"/>
          <w:kern w:val="0"/>
          <w:sz w:val="32"/>
          <w:szCs w:val="32"/>
        </w:rPr>
        <w:t>90</w:t>
      </w:r>
      <w:r>
        <w:rPr>
          <w:rFonts w:hint="eastAsia" w:ascii="仿宋_GB2312" w:hAnsi="仿宋" w:eastAsia="仿宋_GB2312" w:cs="仿宋_GB2312"/>
          <w:kern w:val="0"/>
          <w:sz w:val="32"/>
          <w:szCs w:val="32"/>
        </w:rPr>
        <w:t>%以上，设施农业、畜牧养殖和农产品初加工机械化率总体达到50%左右，经济特色作物生产基本实现全程机械化，力争新增2个旗县区挂牌“全国主要农作物全程机械化示范县”。</w:t>
      </w:r>
      <w:bookmarkEnd w:id="25"/>
    </w:p>
    <w:p w14:paraId="03D4EF84">
      <w:pPr>
        <w:spacing w:line="560" w:lineRule="exact"/>
        <w:ind w:firstLine="640" w:firstLineChars="200"/>
        <w:outlineLvl w:val="1"/>
        <w:rPr>
          <w:rFonts w:ascii="仿宋_GB2312" w:hAnsi="仿宋" w:eastAsia="仿宋_GB2312" w:cs="仿宋_GB2312"/>
          <w:kern w:val="0"/>
          <w:sz w:val="32"/>
          <w:szCs w:val="32"/>
        </w:rPr>
      </w:pPr>
      <w:bookmarkStart w:id="26" w:name="_Toc94087866"/>
      <w:r>
        <w:rPr>
          <w:rFonts w:hint="eastAsia" w:ascii="楷体_GB2312" w:hAnsi="仿宋" w:eastAsia="楷体_GB2312" w:cs="楷体_GB2312"/>
          <w:kern w:val="0"/>
          <w:sz w:val="32"/>
          <w:szCs w:val="32"/>
        </w:rPr>
        <w:t>4.积极发展智慧农牧业。</w:t>
      </w:r>
      <w:r>
        <w:rPr>
          <w:rFonts w:hint="eastAsia" w:ascii="仿宋_GB2312" w:hAnsi="仿宋" w:eastAsia="仿宋_GB2312" w:cs="仿宋_GB2312"/>
          <w:kern w:val="0"/>
          <w:sz w:val="32"/>
          <w:szCs w:val="32"/>
        </w:rPr>
        <w:t>加快农牧业生产与大数据、物联网、空间信息、移动互联网、区块链、人工智能等数字技术深度融合，提升农牧业机械化数字化水平。整合农牧业农村牧区数据资源，建设赤峰市农牧业大数据中心，与中国农业科学院、中国农业大学、中国科学院东北地理与农业生态研究所、内蒙古农业大学、青岛农业大学、吉林中农阳光大数据平台开展合作，重点开发信息采集、精准作业、农产品生产经营安全控制、灾害预警、农村远程数字化和可视化等智能农业技术，强化农牧业遥感监测体系建设，全面采集农牧业气候、土壤等环境信息和农作物、畜禽生产及防疫信息，实现对生产全过程的实时监控、精准管理、远程控制、灾害预警、产品追溯和智能决策。在阿鲁科尔沁旗、宁城县、敖汉旗等地开展智慧农牧业试点，在畜禽养殖环境监测、精准饲喂、投入品使用管理和农作物种植面积、土壤墒情、作物长势、灾情预警等方面进行试验示范，推动数字技术在农畜产品溯源、质量安全管控、品牌营销推广等方面尽快发挥作用，逐步构建空天地气水土“六位一体”智慧农牧业发展格局。</w:t>
      </w:r>
      <w:bookmarkEnd w:id="26"/>
    </w:p>
    <w:p w14:paraId="5860E2E4">
      <w:pPr>
        <w:spacing w:line="560" w:lineRule="exact"/>
        <w:ind w:firstLine="640" w:firstLineChars="200"/>
        <w:outlineLvl w:val="1"/>
        <w:rPr>
          <w:rFonts w:ascii="仿宋_GB2312" w:hAnsi="仿宋" w:eastAsia="仿宋_GB2312" w:cs="仿宋_GB2312"/>
          <w:kern w:val="0"/>
          <w:sz w:val="32"/>
          <w:szCs w:val="32"/>
        </w:rPr>
      </w:pPr>
      <w:r>
        <w:rPr>
          <w:rFonts w:hint="eastAsia" w:ascii="楷体_GB2312" w:hAnsi="仿宋" w:eastAsia="楷体_GB2312" w:cs="楷体_GB2312"/>
          <w:kern w:val="0"/>
          <w:sz w:val="32"/>
          <w:szCs w:val="32"/>
        </w:rPr>
        <w:t>5.健全现代农牧业经营体系</w:t>
      </w:r>
      <w:bookmarkEnd w:id="15"/>
      <w:bookmarkStart w:id="27" w:name="_Toc19445"/>
      <w:bookmarkStart w:id="28" w:name="_Toc69550214"/>
      <w:bookmarkStart w:id="29" w:name="_Toc9603"/>
      <w:r>
        <w:rPr>
          <w:rFonts w:hint="eastAsia" w:ascii="楷体_GB2312" w:hAnsi="仿宋" w:eastAsia="楷体_GB2312" w:cs="楷体_GB2312"/>
          <w:kern w:val="0"/>
          <w:sz w:val="32"/>
          <w:szCs w:val="32"/>
        </w:rPr>
        <w:t>。</w:t>
      </w:r>
      <w:r>
        <w:rPr>
          <w:rFonts w:hint="eastAsia" w:ascii="仿宋_GB2312" w:hAnsi="仿宋" w:eastAsia="仿宋_GB2312" w:cs="仿宋_GB2312"/>
          <w:kern w:val="0"/>
          <w:sz w:val="32"/>
          <w:szCs w:val="32"/>
        </w:rPr>
        <w:t>培育壮大新型经营主体</w:t>
      </w:r>
      <w:bookmarkEnd w:id="27"/>
      <w:bookmarkEnd w:id="28"/>
      <w:bookmarkEnd w:id="29"/>
      <w:r>
        <w:rPr>
          <w:rFonts w:hint="eastAsia" w:ascii="仿宋_GB2312" w:hAnsi="仿宋" w:eastAsia="仿宋_GB2312" w:cs="仿宋_GB2312"/>
          <w:kern w:val="0"/>
          <w:sz w:val="32"/>
          <w:szCs w:val="32"/>
        </w:rPr>
        <w:t>。实施家庭农牧场培育计划，把农牧业规模经营户培育成有活力的家庭农牧场。深入推进示范家庭农牧场创建，重点扶持一批家庭农牧场，提升规模化、标准化发展水平。健全家庭农牧场名录管理制度。开展合作社示范社创建工作，实施农牧民合作社规范提升行动，规范合作社内部管理和利益分配，重点扶持一批规范化管理、标准化生产、品牌化经营的合作社。培育农牧业产业化联合体，创新订单农业和“公司+农户”等经营模式，构建上下游相互衔接配套的全产业链，促进家庭经营、合作经营、企业经营协同发展。完善新型经营主体金融保险、用地保障等政策。建立科研院所、农业高校等社会力量对接服务新型农牧业经营主体的长效机制。推动新型农牧业经营主体与小农牧户建立利益联结机制，推行保底分红、股份合作、利润返还等方式。到2025年，规范运行农牧业社会化服务组织达到2300个，市级以上农牧民专业合作社示范社发展到1000个，家庭农牧场发展到5000家。</w:t>
      </w:r>
      <w:bookmarkStart w:id="30" w:name="_Toc32420"/>
    </w:p>
    <w:p w14:paraId="19E0FD1B">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健全专业化社会化服务体系</w:t>
      </w:r>
      <w:bookmarkEnd w:id="30"/>
      <w:r>
        <w:rPr>
          <w:rFonts w:hint="eastAsia" w:ascii="仿宋_GB2312" w:hAnsi="仿宋" w:eastAsia="仿宋_GB2312" w:cs="仿宋_GB2312"/>
          <w:kern w:val="0"/>
          <w:sz w:val="32"/>
          <w:szCs w:val="32"/>
        </w:rPr>
        <w:t>。发展壮大农机作业、农牧业废弃物资源化利用、农畜产品初加工、农资供应、烘干仓储等生产性社会化服务组织，大力推进以农业生产托管为重点的社会化服务。培育服务联合体和服务联盟，将先进适用的品种、投入品、技术、装备导入小农牧户。开展农牧业专业化社会化服务创新试点示范，鼓励市场主体建设区域性农牧业全产业链综合服务中心。推进农牧业社会化服务标准体系建设，建立服务组织名录库，加强服务监测。2025年，规范运行的农牧业社会化服务组织达到2300个。</w:t>
      </w:r>
    </w:p>
    <w:p w14:paraId="1B6A1AE7">
      <w:pPr>
        <w:spacing w:line="560" w:lineRule="exact"/>
        <w:ind w:firstLine="640" w:firstLineChars="200"/>
        <w:rPr>
          <w:rFonts w:ascii="仿宋_GB2312" w:hAnsi="仿宋" w:eastAsia="仿宋_GB2312" w:cs="仿宋_GB2312"/>
          <w:kern w:val="0"/>
          <w:sz w:val="32"/>
          <w:szCs w:val="32"/>
        </w:rPr>
      </w:pPr>
    </w:p>
    <w:p w14:paraId="4C7D4BD4">
      <w:pPr>
        <w:spacing w:line="560" w:lineRule="exact"/>
        <w:ind w:firstLine="640" w:firstLineChars="200"/>
        <w:rPr>
          <w:rFonts w:hint="eastAsia" w:ascii="仿宋_GB2312" w:hAnsi="仿宋" w:eastAsia="仿宋_GB2312" w:cs="仿宋_GB2312"/>
          <w:kern w:val="0"/>
          <w:sz w:val="32"/>
          <w:szCs w:val="32"/>
        </w:rPr>
      </w:pPr>
    </w:p>
    <w:p w14:paraId="5E32A9AF">
      <w:pPr>
        <w:spacing w:line="560" w:lineRule="exact"/>
        <w:ind w:firstLine="640" w:firstLineChars="200"/>
        <w:jc w:val="center"/>
        <w:outlineLvl w:val="1"/>
        <w:rPr>
          <w:rFonts w:ascii="楷体_GB2312" w:hAnsi="楷体_GB2312" w:eastAsia="楷体_GB2312" w:cs="楷体_GB2312"/>
          <w:bCs/>
          <w:kern w:val="0"/>
          <w:sz w:val="32"/>
          <w:szCs w:val="32"/>
        </w:rPr>
      </w:pPr>
      <w:bookmarkStart w:id="31" w:name="_Toc94087867"/>
      <w:r>
        <w:rPr>
          <w:rFonts w:ascii="楷体_GB2312" w:hAnsi="楷体_GB2312" w:eastAsia="楷体_GB2312" w:cs="楷体_GB2312"/>
          <w:bCs/>
          <w:kern w:val="0"/>
          <w:sz w:val="32"/>
          <w:szCs w:val="32"/>
        </w:rPr>
        <w:t>第五节 推进质量兴农</w:t>
      </w:r>
      <w:bookmarkEnd w:id="31"/>
    </w:p>
    <w:p w14:paraId="08C848AB">
      <w:pPr>
        <w:spacing w:line="560" w:lineRule="exact"/>
        <w:ind w:firstLine="640" w:firstLineChars="200"/>
        <w:outlineLvl w:val="1"/>
        <w:rPr>
          <w:rFonts w:ascii="楷体_GB2312" w:hAnsi="楷体_GB2312" w:eastAsia="楷体_GB2312" w:cs="楷体_GB2312"/>
          <w:bCs/>
          <w:kern w:val="0"/>
          <w:sz w:val="32"/>
          <w:szCs w:val="32"/>
        </w:rPr>
      </w:pPr>
    </w:p>
    <w:p w14:paraId="5A8810DC">
      <w:pPr>
        <w:spacing w:line="560" w:lineRule="exact"/>
        <w:ind w:firstLine="640"/>
        <w:rPr>
          <w:rFonts w:ascii="仿宋_GB2312" w:hAnsi="仿宋" w:eastAsia="仿宋_GB2312" w:cs="仿宋_GB2312"/>
          <w:kern w:val="0"/>
          <w:sz w:val="32"/>
          <w:szCs w:val="32"/>
        </w:rPr>
      </w:pPr>
      <w:r>
        <w:rPr>
          <w:rFonts w:hint="eastAsia" w:ascii="楷体_GB2312" w:hAnsi="仿宋" w:eastAsia="楷体_GB2312" w:cs="楷体_GB2312"/>
          <w:kern w:val="0"/>
          <w:sz w:val="32"/>
          <w:szCs w:val="32"/>
        </w:rPr>
        <w:t>1.提升农牧业生产标准化水平。</w:t>
      </w:r>
      <w:r>
        <w:rPr>
          <w:rFonts w:ascii="仿宋_GB2312" w:hAnsi="仿宋" w:eastAsia="仿宋_GB2312" w:cs="仿宋_GB2312"/>
          <w:kern w:val="0"/>
          <w:sz w:val="32"/>
          <w:szCs w:val="32"/>
        </w:rPr>
        <w:t>坚持无标建标、有标提标，加强农牧业生产标准化体系建设，制定并推行“赤峰小米”“赤峰羊肉”“赤峰牛肉”“赤峰番茄”等优质特色农畜产品生产技术地方标准和团体标准。组织专业技术人员深入基层开展培训和试验示范。建设符合高质量发展要求、各具特色的全程标准化生产基地，扩大标准化生产面积，鼓励新型经营主体制定和采用高于现行标准的生产全程技术规范，带动小农牧户按标生产，不断提升标准化生产水平。实施农牧业生产“三品一标”（品种培优、品质提升、品牌打造和标准化生产）提升行动，</w:t>
      </w:r>
      <w:r>
        <w:rPr>
          <w:rFonts w:hint="eastAsia" w:ascii="仿宋_GB2312" w:hAnsi="仿宋" w:eastAsia="仿宋_GB2312" w:cs="仿宋_GB2312"/>
          <w:kern w:val="0"/>
          <w:sz w:val="32"/>
          <w:szCs w:val="32"/>
        </w:rPr>
        <w:t>推动绿色、有机、名特优新等优质农产品认证登记工作，保护和发展地理标志农产品</w:t>
      </w:r>
      <w:r>
        <w:rPr>
          <w:rFonts w:ascii="仿宋_GB2312" w:hAnsi="仿宋" w:eastAsia="仿宋_GB2312" w:cs="仿宋_GB2312"/>
          <w:kern w:val="0"/>
          <w:sz w:val="32"/>
          <w:szCs w:val="32"/>
        </w:rPr>
        <w:t>。到2025年，全市绿色食品、有机农产品年产增幅保持6%以上；主要农作物标准化生产技术覆盖率达到70%以上。</w:t>
      </w:r>
    </w:p>
    <w:p w14:paraId="7ACD67DB">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2.强化农畜产品质量安全监管。</w:t>
      </w:r>
      <w:r>
        <w:rPr>
          <w:rFonts w:hint="eastAsia" w:ascii="仿宋_GB2312" w:hAnsi="仿宋" w:eastAsia="仿宋_GB2312" w:cs="仿宋_GB2312"/>
          <w:kern w:val="0"/>
          <w:sz w:val="32"/>
          <w:szCs w:val="32"/>
        </w:rPr>
        <w:t>大力开展国家农产品质量安全县创建工作，落实属地管理责任，推进乡镇网格化监管、完善村级协管员队伍，提升农畜产品检验检测能力。加强农畜产品质量安全追溯体系建设，健全从农田到餐桌全过程质量安全监管机制，开展全程质量安全控制技术体系推广和生产基地创建，全面推行食用农畜产品承诺达标合格证制度。推广应用智慧农安平台，运用大数据等现代信息技术推动监管方式创新，实现全程质量安全控制。强化农畜产品质量安全执法，持续开展农畜产品质量安全专项整治、农资打假、例行监测（风险监测）和监督抽查工作，开展特色农畜产品品质评鉴和风险评估，做好农畜产品质量安全突发事件应急处置。到2025年，推动</w:t>
      </w:r>
      <w:r>
        <w:rPr>
          <w:rFonts w:ascii="仿宋_GB2312" w:hAnsi="仿宋" w:eastAsia="仿宋_GB2312" w:cs="仿宋_GB2312"/>
          <w:kern w:val="0"/>
          <w:sz w:val="32"/>
          <w:szCs w:val="32"/>
        </w:rPr>
        <w:t>3</w:t>
      </w:r>
      <w:r>
        <w:rPr>
          <w:rFonts w:hint="eastAsia" w:ascii="仿宋_GB2312" w:hAnsi="仿宋" w:eastAsia="仿宋_GB2312" w:cs="仿宋_GB2312"/>
          <w:kern w:val="0"/>
          <w:sz w:val="32"/>
          <w:szCs w:val="32"/>
        </w:rPr>
        <w:t>个以上旗县区争创国家农产品质量安全县，全市主要农畜产品例行监测合格率稳定在98%以上。</w:t>
      </w:r>
    </w:p>
    <w:p w14:paraId="7DFE63D1">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3.做好动植物疫病防控。</w:t>
      </w:r>
      <w:r>
        <w:rPr>
          <w:rFonts w:ascii="仿宋_GB2312" w:hAnsi="仿宋" w:eastAsia="仿宋_GB2312" w:cs="仿宋_GB2312"/>
          <w:kern w:val="0"/>
          <w:sz w:val="32"/>
          <w:szCs w:val="32"/>
        </w:rPr>
        <w:t>健全动物防疫体系，推进动物防疫社会化服务。</w:t>
      </w:r>
      <w:r>
        <w:rPr>
          <w:rFonts w:hint="eastAsia" w:ascii="仿宋_GB2312" w:hAnsi="仿宋" w:eastAsia="仿宋_GB2312" w:cs="仿宋_GB2312"/>
          <w:kern w:val="0"/>
          <w:sz w:val="32"/>
          <w:szCs w:val="32"/>
        </w:rPr>
        <w:t>坚持内防外堵，在养殖、运输、屠宰、交易、隔离、无害化处理等重点环节实现动物卫生监管全覆盖。强化免疫、监测流调、检疫监管、病死畜禽无害化处理、消毒灭源和应急管理等综合防控措施落实，持之以恒抓好口蹄疫、高致病性禽流感、非洲猪瘟等重大动物疫病防控，对重大动物疫病做到应免尽免，确保全市不发生重大区域性动物疫情。强化农作物重大疫情监测预警及防控，推广全程绿色防控技术集成模式，推进病虫害专业化统防统治。加强外来种苗、种畜的检测和监管，防止农作物病虫害、动物疫病跨区域传播。</w:t>
      </w:r>
    </w:p>
    <w:p w14:paraId="3A803FAE">
      <w:pPr>
        <w:spacing w:line="580" w:lineRule="exact"/>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401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708B3FD8">
            <w:pPr>
              <w:spacing w:line="580" w:lineRule="exact"/>
              <w:jc w:val="center"/>
              <w:rPr>
                <w:rFonts w:ascii="仿宋_GB2312" w:eastAsia="仿宋_GB2312"/>
                <w:sz w:val="28"/>
                <w:szCs w:val="28"/>
              </w:rPr>
            </w:pPr>
            <w:r>
              <w:rPr>
                <w:rFonts w:hint="eastAsia" w:ascii="黑体" w:hAnsi="黑体" w:eastAsia="黑体" w:cs="黑体"/>
                <w:sz w:val="28"/>
                <w:szCs w:val="28"/>
              </w:rPr>
              <w:t>专栏：动物疫病防控</w:t>
            </w:r>
          </w:p>
        </w:tc>
      </w:tr>
      <w:tr w14:paraId="1C9C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39BCA818">
            <w:pPr>
              <w:spacing w:line="440" w:lineRule="exact"/>
              <w:ind w:firstLine="560" w:firstLineChars="200"/>
              <w:rPr>
                <w:rFonts w:ascii="仿宋_GB2312" w:eastAsia="仿宋_GB2312"/>
                <w:sz w:val="28"/>
              </w:rPr>
            </w:pPr>
            <w:r>
              <w:rPr>
                <w:rFonts w:hint="eastAsia" w:ascii="仿宋_GB2312" w:eastAsia="仿宋_GB2312"/>
                <w:sz w:val="28"/>
              </w:rPr>
              <w:t>1.动物保护能力提升。依托国家陆生动物疫病病原学监测区域中心建设项目和自治区兽医实验室设施设备升级改造项目，完成赤峰市陆生动物疫病病原学监测区域中心建设，更新改造兽医实验室，到2025年市、旗县区生物安全二级实验室（BSL-2）达到10家以上。</w:t>
            </w:r>
          </w:p>
          <w:p w14:paraId="59C7B746">
            <w:pPr>
              <w:spacing w:line="440" w:lineRule="exact"/>
              <w:ind w:firstLine="560" w:firstLineChars="200"/>
            </w:pPr>
            <w:r>
              <w:rPr>
                <w:rFonts w:hint="eastAsia" w:ascii="仿宋_GB2312" w:eastAsia="仿宋_GB2312"/>
                <w:sz w:val="28"/>
              </w:rPr>
              <w:t>2.病死畜禽无害化处理。依托病死畜禽无害化收集处理厂建设项目，开展病死畜无害化处理与保险联动机制建设试点，探索构建政府、养殖场户、保险公司、无害化处理场四方联动机制。支持敖汉旗开展试点，到2025年按区域划分建成2个无害化处理场。</w:t>
            </w:r>
          </w:p>
        </w:tc>
      </w:tr>
    </w:tbl>
    <w:p w14:paraId="324E1623">
      <w:pPr>
        <w:spacing w:line="20" w:lineRule="exact"/>
        <w:ind w:firstLine="0" w:firstLineChars="0"/>
        <w:jc w:val="both"/>
        <w:outlineLvl w:val="1"/>
        <w:rPr>
          <w:rFonts w:hint="eastAsia" w:ascii="楷体_GB2312" w:hAnsi="楷体_GB2312" w:eastAsia="楷体_GB2312" w:cs="楷体_GB2312"/>
          <w:bCs/>
          <w:kern w:val="0"/>
          <w:sz w:val="32"/>
          <w:szCs w:val="32"/>
        </w:rPr>
      </w:pPr>
    </w:p>
    <w:p w14:paraId="4B8274DA">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第六节 推动乡村一二三产业融合发展</w:t>
      </w:r>
    </w:p>
    <w:p w14:paraId="07293B4B">
      <w:pPr>
        <w:spacing w:line="560" w:lineRule="exact"/>
        <w:ind w:firstLine="640" w:firstLineChars="200"/>
        <w:rPr>
          <w:rFonts w:ascii="楷体_GB2312" w:hAnsi="楷体_GB2312" w:eastAsia="楷体_GB2312" w:cs="楷体_GB2312"/>
          <w:kern w:val="0"/>
          <w:sz w:val="32"/>
          <w:szCs w:val="32"/>
        </w:rPr>
      </w:pPr>
    </w:p>
    <w:p w14:paraId="619D77BE">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1.大力发展农畜产品加工业。</w:t>
      </w:r>
      <w:r>
        <w:rPr>
          <w:rFonts w:hint="eastAsia" w:ascii="仿宋_GB2312" w:hAnsi="仿宋" w:eastAsia="仿宋_GB2312" w:cs="仿宋_GB2312"/>
          <w:kern w:val="0"/>
          <w:sz w:val="32"/>
          <w:szCs w:val="32"/>
        </w:rPr>
        <w:t>以“粮头食尾”“农头工尾”为抓手，加快建设产业规模大、科技水平高、加工程度深、示范带动显著的农畜产品精深加工基地。建设一批技术水平高、加工能力强、转化层次深的重大项目，引进一批实力较强的农畜产品加工龙头企业，打造农畜产品深加工集聚区。推动农畜产品产地初加工，建设一批清洗分级、贴牌包装等初加工车间，鼓励和扶持龙头企业、农牧民合作社、种养大户建设贮藏保鲜设施，最大限度提升农畜产品增值能力。发展城市便捷食品生产，打造一批体现赤峰产业优势和地方特色的中央厨房，围绕家庭消费和餐饮业建成一批食品食材半成品生产加工车间和直销点。</w:t>
      </w:r>
    </w:p>
    <w:p w14:paraId="396FEE7F">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2.实施龙头企业带动能力提升工程。</w:t>
      </w:r>
      <w:r>
        <w:rPr>
          <w:rFonts w:hint="eastAsia" w:ascii="仿宋_GB2312" w:hAnsi="仿宋" w:eastAsia="仿宋_GB2312" w:cs="仿宋_GB2312"/>
          <w:kern w:val="0"/>
          <w:sz w:val="32"/>
          <w:szCs w:val="32"/>
        </w:rPr>
        <w:t>围绕列入自治区产业集群的重点产业，对有基地、有加工、有品牌的骨干龙头企业在政策上予以倾斜，增强龙头企业的加工能力、科技实力和市场竞争力，鼓励更多的市级重点龙头进入自治区和国家级产业化龙头企业行列。支持龙头企业联农带农协同发展，打造一批带动作用突出、综合竞争力强、可持续发展的农牧业产业化联合体。到2025年,新增市级以上重点龙头企业30家，总数达到300家以上；新增农牧业产业化示范联合体60家，总数达到100家以上；主要农畜产品加工转化率提高11.5个百分点，达到80%以上。</w:t>
      </w:r>
    </w:p>
    <w:p w14:paraId="32517568">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3.推进现代农牧业产业园和农业现代化示范区建设。</w:t>
      </w:r>
      <w:r>
        <w:rPr>
          <w:rFonts w:hint="eastAsia" w:ascii="仿宋_GB2312" w:hAnsi="仿宋" w:eastAsia="仿宋_GB2312" w:cs="仿宋_GB2312"/>
          <w:kern w:val="0"/>
          <w:sz w:val="32"/>
          <w:szCs w:val="32"/>
        </w:rPr>
        <w:t>完善各类园区基础设施和服务功能，推动生产要素向园区集中、优势产业向园区集聚、政策资金向园区倾斜，吸引社会资本进园入区。继续推动克什克腾旗肉羊种业国家现代农业产业园建设，支持敖汉旗自治区级现代农牧业产业园晋升国家级现代农业产业园，提升宁城县自治区级现代农牧业产业园发展水平，推进其他旗县创建自治区现代农业产业园。加快“一品一村”示范村镇、农牧业产业强镇和优势特色产业集群建设。以旗县区为单位创建农牧业现代化示范区，围绕提高农牧业产业体系、生产体系、经营体系现代化水平，建立指标体系，加强资源整合和政策集成，示范引领农牧业现代化发展，探索建立农牧业现代化发展模式、政策体系、工作机制，形成梯次推进农牧业现代化的格局。</w:t>
      </w:r>
    </w:p>
    <w:p w14:paraId="6C229F5F">
      <w:pPr>
        <w:spacing w:line="560" w:lineRule="exact"/>
        <w:ind w:firstLine="641"/>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4.完善市场流通体系。</w:t>
      </w:r>
      <w:r>
        <w:rPr>
          <w:rFonts w:hint="eastAsia" w:ascii="仿宋_GB2312" w:hAnsi="仿宋" w:eastAsia="仿宋_GB2312" w:cs="仿宋_GB2312"/>
          <w:kern w:val="0"/>
          <w:sz w:val="32"/>
          <w:szCs w:val="32"/>
        </w:rPr>
        <w:t>依托产业优势和物流节点，建设和改造一批农畜产品批发交易市场，健全冷链物流配送体系，形成集仓储保鲜、包装加工、中转物流、检验检疫、互联网+农畜产品、电子商务于一体的现代农畜产品交易中心。拓展农畜产品交易市场功能，聚集社会服务组织、农牧民合作社、种养大户和经纪人，在农资供应、信息沟通、产销对接、农技服务等方面发挥更大作用。加强与供销、邮政、快递企业合作，畅通旗县区、苏木乡镇、嘎查村三级物流体系，落实农产品运输优惠政策，推进农畜产品“出村进城”。推动省部共建国家级牛羊（赤峰）交易中心在我市落地，提高赤峰农产品北京消费帮扶集采展销中心运营水平。鼓励符合条件的加工企业、商贸企业承担国家、自治区重要农畜产品储备任务。充分发挥国家电子商务进农村示范县项目和电子商务示范企业引领作用，扶持电商企业、营销平台进村入户，开展形式多样的“互联网+农畜产品”展示展销，培育一批网络直销带货网红。</w:t>
      </w:r>
    </w:p>
    <w:p w14:paraId="7F653D36">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5.加快发展休闲农牧业。</w:t>
      </w:r>
      <w:r>
        <w:rPr>
          <w:rFonts w:hint="eastAsia" w:ascii="仿宋_GB2312" w:hAnsi="仿宋" w:eastAsia="仿宋_GB2312" w:cs="仿宋_GB2312"/>
          <w:kern w:val="0"/>
          <w:sz w:val="32"/>
          <w:szCs w:val="32"/>
        </w:rPr>
        <w:t>依托自然风貌、人文环境、乡土文化等资源禀赋，实施乡村休闲旅游精品工程，加强引导，以县域为单元，建设休闲农业重点县；依托种养业、田园风光、绿水青山等资源优势，推动农牧业与旅游、教育、康养等产业融合，发展田园养生、研学科普、农耕体验、休闲垂钓、民宿康养等休闲农牧业新业态，持续打造美丽休闲乡村，推介休闲农业精品景点线路，促进休闲农业提档升级。推动乡村旅游与现代农牧业深度融合。</w:t>
      </w:r>
    </w:p>
    <w:p w14:paraId="05B456FD">
      <w:pPr>
        <w:spacing w:after="120" w:line="60" w:lineRule="exact"/>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8B4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567CA48A">
            <w:pPr>
              <w:spacing w:line="580" w:lineRule="exact"/>
              <w:jc w:val="center"/>
              <w:rPr>
                <w:rFonts w:ascii="仿宋_GB2312" w:eastAsia="仿宋_GB2312"/>
                <w:sz w:val="28"/>
                <w:szCs w:val="28"/>
              </w:rPr>
            </w:pPr>
            <w:r>
              <w:rPr>
                <w:rFonts w:hint="eastAsia" w:ascii="黑体" w:hAnsi="黑体" w:eastAsia="黑体" w:cs="黑体"/>
                <w:sz w:val="28"/>
                <w:szCs w:val="28"/>
              </w:rPr>
              <w:t>专栏：乡村一二三产业融合发展</w:t>
            </w:r>
          </w:p>
        </w:tc>
      </w:tr>
      <w:tr w14:paraId="5220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3FAB5CC6">
            <w:pPr>
              <w:spacing w:line="400" w:lineRule="exact"/>
              <w:ind w:firstLine="560" w:firstLineChars="200"/>
              <w:rPr>
                <w:rFonts w:ascii="仿宋_GB2312" w:eastAsia="仿宋_GB2312"/>
                <w:sz w:val="28"/>
                <w:szCs w:val="28"/>
              </w:rPr>
            </w:pPr>
            <w:r>
              <w:rPr>
                <w:rFonts w:hint="eastAsia" w:ascii="仿宋_GB2312" w:eastAsia="仿宋_GB2312"/>
                <w:sz w:val="28"/>
                <w:szCs w:val="28"/>
              </w:rPr>
              <w:t>1.农牧业现代化示范区建设。加强资源整合、政策集成，改善物质装备技术条件，创建农牧业现代化示范区，探索差异化、特色化的农牧业现代化发展模式。</w:t>
            </w:r>
          </w:p>
          <w:p w14:paraId="0A4CCF63">
            <w:pPr>
              <w:spacing w:line="400" w:lineRule="exact"/>
              <w:ind w:firstLine="560" w:firstLineChars="200"/>
              <w:rPr>
                <w:rFonts w:ascii="仿宋_GB2312" w:eastAsia="仿宋_GB2312"/>
                <w:sz w:val="28"/>
                <w:szCs w:val="28"/>
              </w:rPr>
            </w:pPr>
            <w:r>
              <w:rPr>
                <w:rFonts w:hint="eastAsia" w:ascii="仿宋_GB2312" w:eastAsia="仿宋_GB2312"/>
                <w:sz w:val="28"/>
                <w:szCs w:val="28"/>
              </w:rPr>
              <w:t>2.现代农牧业产业园创建。围绕肉牛、肉羊、蔬菜、杂粮杂豆、饲草饲料等优势特色主导产业，以旗县为主体，开展现代农牧业产业园创建，力争到2025年创建国家级2个，自治区级4个。</w:t>
            </w:r>
          </w:p>
          <w:p w14:paraId="79BE74F0">
            <w:pPr>
              <w:spacing w:line="400" w:lineRule="exact"/>
              <w:ind w:firstLine="560" w:firstLineChars="200"/>
              <w:rPr>
                <w:rFonts w:ascii="仿宋_GB2312" w:eastAsia="仿宋_GB2312"/>
                <w:sz w:val="28"/>
                <w:szCs w:val="28"/>
              </w:rPr>
            </w:pPr>
            <w:r>
              <w:rPr>
                <w:rFonts w:hint="eastAsia" w:ascii="仿宋_GB2312" w:eastAsia="仿宋_GB2312"/>
                <w:sz w:val="28"/>
                <w:szCs w:val="28"/>
              </w:rPr>
              <w:t>3.产业强镇建设。聚焦各地优势主导和特色产业，聚焦产业发展重点苏木乡镇，聚焦培育龙头企业和产业化联合体，主要支持主导产业关键领域、薄弱环节发展，提升原料基地、加工营销等设施装备水平，促进主导产业转型升级、由大变强。发挥苏木乡镇上联城市、下接乡村的纽带作用，推动产城融合、产村融合发展，打造综合服务功能强、宜居宜业的乡村产业融合综合体。</w:t>
            </w:r>
          </w:p>
          <w:p w14:paraId="44436069">
            <w:pPr>
              <w:spacing w:line="400" w:lineRule="exact"/>
              <w:ind w:firstLine="560" w:firstLineChars="200"/>
            </w:pPr>
            <w:r>
              <w:rPr>
                <w:rFonts w:hint="eastAsia" w:ascii="仿宋_GB2312" w:eastAsia="仿宋_GB2312"/>
                <w:sz w:val="28"/>
                <w:szCs w:val="28"/>
              </w:rPr>
              <w:t>4.农畜产品仓储保鲜冷链设施建设。依托农畜产品仓储保鲜冷链设施建设项目，重点在鲜活农畜产品主产区，特色农畜产品优势区，围绕蔬菜、水果、肉、蛋、奶类等鲜活农畜产品，推进产地仓储保鲜冷链物流设施建设，提升农畜产品仓储保鲜能力和冷链流通率，减少产后损失。</w:t>
            </w:r>
          </w:p>
        </w:tc>
      </w:tr>
    </w:tbl>
    <w:p w14:paraId="3221BCFE">
      <w:pPr>
        <w:spacing w:line="20" w:lineRule="exact"/>
        <w:outlineLvl w:val="1"/>
        <w:rPr>
          <w:rFonts w:hint="eastAsia" w:ascii="楷体_GB2312" w:hAnsi="楷体_GB2312" w:eastAsia="楷体_GB2312" w:cs="楷体_GB2312"/>
          <w:bCs/>
          <w:kern w:val="0"/>
          <w:sz w:val="32"/>
          <w:szCs w:val="32"/>
        </w:rPr>
      </w:pPr>
      <w:bookmarkStart w:id="32" w:name="_Toc94087869"/>
      <w:bookmarkStart w:id="33" w:name="_Toc31914"/>
    </w:p>
    <w:p w14:paraId="40902B25">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第七节 实施农畜产品品牌战略</w:t>
      </w:r>
      <w:bookmarkEnd w:id="32"/>
    </w:p>
    <w:p w14:paraId="11290251">
      <w:pPr>
        <w:spacing w:line="560" w:lineRule="exact"/>
        <w:ind w:firstLine="640"/>
        <w:rPr>
          <w:rFonts w:ascii="仿宋_GB2312" w:hAnsi="仿宋_GB2312" w:eastAsia="仿宋_GB2312" w:cs="仿宋_GB2312"/>
          <w:kern w:val="0"/>
          <w:sz w:val="32"/>
          <w:szCs w:val="32"/>
        </w:rPr>
      </w:pPr>
    </w:p>
    <w:p w14:paraId="3D914227">
      <w:pPr>
        <w:spacing w:line="560" w:lineRule="exact"/>
        <w:ind w:firstLine="641"/>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1.全面构建“赤诚峰味”区域公用品牌体系。</w:t>
      </w:r>
      <w:r>
        <w:rPr>
          <w:rFonts w:hint="eastAsia" w:ascii="仿宋_GB2312" w:hAnsi="仿宋" w:eastAsia="仿宋_GB2312" w:cs="仿宋_GB2312"/>
          <w:kern w:val="0"/>
          <w:sz w:val="32"/>
          <w:szCs w:val="32"/>
        </w:rPr>
        <w:t>加强市级农畜产品区域公用品牌管理工作机构建设，制定“赤诚峰味”品牌管理制度，确保品牌资产运营效率。完善子品牌架构，集中打造“赤峰小米”“赤峰荞麦”“赤峰绿豆”“赤峰番茄”“赤峰辣椒”“赤峰黄瓜”“赤峰羊肉”“赤峰牛肉”“赤峰鸡蛋”等9个赤峰单产业公用品牌。鼓励旗县区突出各自优势，打造食用菌、笤帚苗等地方特色品牌。与蚂蚁商盟、辽沈商盟、淮海商盟等平台结成战略合作伙伴关系，全力提升区域公用品牌影响力。</w:t>
      </w:r>
    </w:p>
    <w:p w14:paraId="549C3DF9">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2.加快区域公用品牌运营。</w:t>
      </w:r>
      <w:r>
        <w:rPr>
          <w:rFonts w:hint="eastAsia" w:ascii="仿宋_GB2312" w:hAnsi="仿宋" w:eastAsia="仿宋_GB2312" w:cs="仿宋_GB2312"/>
          <w:kern w:val="0"/>
          <w:sz w:val="32"/>
          <w:szCs w:val="32"/>
        </w:rPr>
        <w:t>设立品牌运营公司，完善品牌授权使用、运营管理和应急处理机制，构建品质保障、品牌保护、社会监督体系。制作“赤诚峰味”营销传播方案，推出一批具有地方特色的品牌形象宣传产品，在产品包装、生产基地、终端市场等方面导入品牌形象，利用各类媒体广泛推介“赤诚峰味”区域公用品牌，全面提升农畜产品溢价能力。</w:t>
      </w:r>
    </w:p>
    <w:p w14:paraId="71C2EE91">
      <w:pPr>
        <w:spacing w:line="560" w:lineRule="exact"/>
        <w:ind w:firstLine="640"/>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3.创建企业品牌和产品品牌。</w:t>
      </w:r>
      <w:r>
        <w:rPr>
          <w:rFonts w:hint="eastAsia" w:ascii="仿宋_GB2312" w:hAnsi="仿宋" w:eastAsia="仿宋_GB2312" w:cs="仿宋_GB2312"/>
          <w:kern w:val="0"/>
          <w:sz w:val="32"/>
          <w:szCs w:val="32"/>
        </w:rPr>
        <w:t>聚焦主导产业，因地制宜，突出优势，引导农牧业经营主体特别是产业化龙头企业增强自主创新能力，加强质量管控体系建设，拓展市场营销渠道，打造一大批具有较高知名度的企业品牌和产品品牌。实施国家地理标志农产品保护工程，推行国家地理标志专用标志和集体商标、证明商标，鼓励和引导品牌使用主体“区域公用品牌、地理标志、产品品标、商标、徽标（Logo）和防伪标识”在产品包装上的一体化运用，增强我市农畜产品的标识度和辨识度。丰富和强化品牌自我保护手段，坚决维护我市农畜产品信誉。</w:t>
      </w:r>
      <w:bookmarkEnd w:id="33"/>
      <w:bookmarkStart w:id="34" w:name="_Toc25852"/>
    </w:p>
    <w:p w14:paraId="25B2F905">
      <w:pPr>
        <w:spacing w:line="560" w:lineRule="exact"/>
        <w:outlineLvl w:val="1"/>
        <w:rPr>
          <w:rFonts w:ascii="楷体_GB2312" w:hAnsi="楷体_GB2312" w:eastAsia="楷体_GB2312" w:cs="楷体_GB2312"/>
          <w:bCs/>
          <w:kern w:val="0"/>
          <w:sz w:val="32"/>
          <w:szCs w:val="32"/>
        </w:rPr>
      </w:pPr>
    </w:p>
    <w:bookmarkEnd w:id="34"/>
    <w:p w14:paraId="0C76C065">
      <w:pPr>
        <w:spacing w:line="560" w:lineRule="exact"/>
        <w:ind w:firstLine="640" w:firstLineChars="200"/>
        <w:jc w:val="center"/>
        <w:outlineLvl w:val="1"/>
        <w:rPr>
          <w:rFonts w:ascii="楷体_GB2312" w:hAnsi="楷体_GB2312" w:eastAsia="楷体_GB2312" w:cs="楷体_GB2312"/>
          <w:bCs/>
          <w:kern w:val="0"/>
          <w:sz w:val="32"/>
          <w:szCs w:val="32"/>
        </w:rPr>
      </w:pPr>
      <w:bookmarkStart w:id="35" w:name="_Toc31323"/>
      <w:bookmarkStart w:id="36" w:name="_Toc94087874"/>
      <w:r>
        <w:rPr>
          <w:rFonts w:ascii="楷体_GB2312" w:hAnsi="仿宋_GB2312" w:eastAsia="楷体_GB2312" w:cs="仿宋_GB2312"/>
          <w:bCs/>
          <w:kern w:val="0"/>
          <w:sz w:val="32"/>
          <w:szCs w:val="32"/>
        </w:rPr>
        <w:t xml:space="preserve">第八节 </w:t>
      </w:r>
      <w:bookmarkEnd w:id="35"/>
      <w:bookmarkEnd w:id="36"/>
      <w:bookmarkStart w:id="37" w:name="_Toc94087875"/>
      <w:r>
        <w:rPr>
          <w:rFonts w:ascii="楷体_GB2312" w:hAnsi="楷体_GB2312" w:eastAsia="楷体_GB2312" w:cs="楷体_GB2312"/>
          <w:bCs/>
          <w:kern w:val="0"/>
          <w:sz w:val="32"/>
          <w:szCs w:val="32"/>
        </w:rPr>
        <w:t>推进农牧业绿色发展</w:t>
      </w:r>
      <w:bookmarkEnd w:id="37"/>
    </w:p>
    <w:p w14:paraId="51A8B38F">
      <w:pPr>
        <w:spacing w:line="560" w:lineRule="exact"/>
        <w:ind w:firstLine="640" w:firstLineChars="200"/>
        <w:jc w:val="center"/>
        <w:outlineLvl w:val="1"/>
        <w:rPr>
          <w:rFonts w:ascii="楷体_GB2312" w:hAnsi="楷体_GB2312" w:eastAsia="楷体_GB2312" w:cs="楷体_GB2312"/>
          <w:bCs/>
          <w:kern w:val="0"/>
          <w:sz w:val="32"/>
          <w:szCs w:val="32"/>
        </w:rPr>
      </w:pPr>
    </w:p>
    <w:p w14:paraId="7898E31D">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1.提升产地环境保护水平。</w:t>
      </w:r>
      <w:r>
        <w:rPr>
          <w:rFonts w:hint="eastAsia" w:ascii="仿宋_GB2312" w:hAnsi="仿宋" w:eastAsia="仿宋_GB2312" w:cs="仿宋_GB2312"/>
          <w:kern w:val="0"/>
          <w:sz w:val="32"/>
          <w:szCs w:val="32"/>
        </w:rPr>
        <w:t>牢固树立保护环境就是保护生产力、改善环境就是发展生产力的理念，加快推行绿色生产方式，科学使用农业投入品，循环利用农业废弃物，有效遏制农业面源污染。</w:t>
      </w:r>
    </w:p>
    <w:p w14:paraId="72AB8025">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化肥减量增效。技术集成驱动，以化肥减量增效为重点，集成推广科学施肥技术。在粮食主产区、园艺作物优势产区和设施蔬菜集中产区，推广机械施肥、种肥同播等措施，示范推广缓释肥、水溶肥等新型肥料，改进施肥方式。有机肥替代推动，以果菜优势区为重点推动粪肥还田利用，减少化肥用量，增加优质绿色产品供给。引导地方加大投入，在更大范围推进有机肥替代化肥。新型经营主体带动，培育扶持一批专业化服务组织，开展肥料统配统施社会化服务。鼓励农企合作推进测土配方施肥。到2025年，全市化肥年施用量（折纯）保持负增长。</w:t>
      </w:r>
    </w:p>
    <w:p w14:paraId="7AF67ED6">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农药减量增效。推行统防统治，扶持一批病虫防治专业化服务组织，开展统防统治，带动群防群治，提高防治效果。推行绿色防控，在园艺作物重点区域，集成推广生物防治、物理防治等绿色防控技术，引导创建绿色生产基地，培育绿色品牌，带动更大范围绿色防控技术推广。推广新型高效植保机械，支持创制推广喷杆喷雾机、植保无人机等先进的高效植保机械，提高农药利用率。推进科学用药，开展农药使用安全风险评估，推广应用高效低毒低残留新型农药，逐步淘汰高毒、高风险农药。构建农作物病虫害监测预警体系，建设一批智能化、自动化田间监测网点，提高重大病虫疫情监测预警水平。到2025年，农药年使用量保持负增长。</w:t>
      </w:r>
    </w:p>
    <w:p w14:paraId="6DDBF2BC">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养殖废弃物资源化利用。健全畜禽养殖废弃物资源化利用制度，严格落实畜禽养殖污染防治要求，完善绩效评价考核制度和畜禽养殖污染监管制度，加快构建畜禽粪污资源化利用市场机制，促进种养结合，推动畜禽粪污处理设施可持续运行。加强畜禽粪污资源化利用能力建设。建立畜禽粪污收集、处理、利用信息化管理系统，持续开展畜禽粪污资源化利用整县推进，建设粪肥还田利用种养结合基地，培育发展畜禽粪污能源化利用产业。推进绿色种养循环，探索建立粪肥运输、使用激励机制，培育粪肥还田社会化服务组织，推行畜禽粪肥低成本、机械化、就地就近还田。减少养殖污染排放。到2025年，畜禽粪污综合利用率达到90%。</w:t>
      </w:r>
    </w:p>
    <w:p w14:paraId="51E8DE6A">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秸秆综合利用。促进秸秆肥料化，集成推广秸秆还田技术，改造提升秸秆机械化还田装备，在粮食主产区系统性推进秸秆粉碎还田。促进秸秆饲料化，鼓励养殖场和饲料企业利用秸秆发展优质饲料，将畜禽粪污无害化处理后还田，实现过腹还田、变废为宝。严格禁烧管控，防止秸秆焚烧带来区域性大气污染。到2025年，秸秆资源化利用率达到90%。</w:t>
      </w:r>
    </w:p>
    <w:p w14:paraId="676383D0">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加强白色污染治理。推进农膜回收利用。落实严格的农膜管理制度，加强农膜生产、销售、使用、回收、再利用等环节管理。推广普及标准地膜，开展地膜覆盖技术适宜性评估，因地制宜调减作物覆膜面积。强化市场监管，禁止企业生产、采购、销售不符合国家强制性标准的地膜。积极探索推广环境友好生物可降解地膜。促进废旧地膜加工再利用，培育专业化农膜回收主体，发展废旧地膜机械化捡拾，建设农膜储存加工场点。建立健全农膜回收利用机制，支持用膜大县整县推进农膜回收，健全回收网络体系。开展区域农膜回收补贴制度试点。建立健全农田地膜残留监测点，开展常态化、制度化监测评估。到2025年，废旧农膜回收率达到85%。</w:t>
      </w:r>
    </w:p>
    <w:p w14:paraId="034A6E6D">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包装废弃物回收处置。严格农药包装废弃物管理，完善农药包装废弃物回收体系，推进农药包装废弃物资源化利用和无害化处置。加强农药包装废弃物回收处理活动环境污染防治的监管。合理处置肥料包装废弃物，对有再利用价值的肥料包装废弃物进行再利用，促进包装废弃物减量。无利用价值的纳入农村生活垃圾处理体系集中处理。</w:t>
      </w:r>
      <w:bookmarkStart w:id="38" w:name="_Toc14386"/>
    </w:p>
    <w:p w14:paraId="2FC6BB14">
      <w:pPr>
        <w:spacing w:line="560" w:lineRule="exact"/>
        <w:ind w:firstLine="641"/>
        <w:rPr>
          <w:rFonts w:ascii="楷体_GB2312" w:hAnsi="黑体" w:eastAsia="楷体_GB2312" w:cs="楷体_GB2312"/>
          <w:bCs/>
          <w:kern w:val="0"/>
          <w:sz w:val="32"/>
          <w:szCs w:val="32"/>
        </w:rPr>
      </w:pPr>
      <w:r>
        <w:rPr>
          <w:rFonts w:hint="eastAsia" w:ascii="楷体_GB2312" w:hAnsi="黑体" w:eastAsia="楷体_GB2312" w:cs="楷体_GB2312"/>
          <w:bCs/>
          <w:kern w:val="0"/>
          <w:sz w:val="32"/>
          <w:szCs w:val="32"/>
        </w:rPr>
        <w:t>2.保护修复农村牧区生态系统</w:t>
      </w:r>
      <w:bookmarkEnd w:id="38"/>
      <w:r>
        <w:rPr>
          <w:rFonts w:hint="eastAsia" w:ascii="楷体_GB2312" w:hAnsi="黑体" w:eastAsia="楷体_GB2312" w:cs="楷体_GB2312"/>
          <w:bCs/>
          <w:kern w:val="0"/>
          <w:sz w:val="32"/>
          <w:szCs w:val="32"/>
        </w:rPr>
        <w:t>。</w:t>
      </w:r>
    </w:p>
    <w:p w14:paraId="268E531D">
      <w:pPr>
        <w:spacing w:line="560" w:lineRule="exact"/>
        <w:ind w:firstLine="641"/>
        <w:rPr>
          <w:rFonts w:ascii="仿宋_GB2312" w:hAnsi="仿宋" w:eastAsia="仿宋_GB2312" w:cs="仿宋_GB2312"/>
          <w:kern w:val="0"/>
          <w:sz w:val="32"/>
          <w:szCs w:val="32"/>
        </w:rPr>
      </w:pPr>
      <w:bookmarkStart w:id="39" w:name="_Toc11770"/>
      <w:r>
        <w:rPr>
          <w:rFonts w:hint="eastAsia" w:ascii="仿宋_GB2312" w:hAnsi="仿宋" w:eastAsia="仿宋_GB2312" w:cs="仿宋_GB2312"/>
          <w:kern w:val="0"/>
          <w:sz w:val="32"/>
          <w:szCs w:val="32"/>
        </w:rPr>
        <w:t>强化农业资源保护。发展雨养农业，充分利用天然降水，减少灌溉用水。发展集雨补灌农业，因地制宜推广全膜双垄沟播集雨种植技术，提高天然降水利用率。发展聚水保土农业，推广带状留茬间作和田间集雨节水技术，降低水土流失。推进农牧结合，在农牧交错区推行种养循环、农牧结合，建设人工饲草料基地，发展草食畜牧业。集成推广节水技术。推进农艺节水，推广水肥一体及膜下滴管、浅埋滴灌等农业节水技术，提高水资源利用效率。推进品种节水，选育推广一批节水抗旱的玉米品种，增强抗旱保产能力。推进工程节水，以粮食主产区、严重缺水区和生态脆弱地区为重点，加大以滴灌为主的高效节水设施建设推广力度。调整农作物种植结构，适度调减高耗水作物，推动水资源超载和临界超载地区农业结构调整。健全耕地轮作休耕制度。</w:t>
      </w:r>
      <w:bookmarkEnd w:id="39"/>
      <w:bookmarkStart w:id="40" w:name="_Toc7402"/>
    </w:p>
    <w:p w14:paraId="05AC8F35">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推动农牧业农村牧区减排固碳</w:t>
      </w:r>
      <w:bookmarkEnd w:id="40"/>
      <w:r>
        <w:rPr>
          <w:rFonts w:hint="eastAsia" w:ascii="仿宋_GB2312" w:hAnsi="仿宋" w:eastAsia="仿宋_GB2312" w:cs="仿宋_GB2312"/>
          <w:kern w:val="0"/>
          <w:sz w:val="32"/>
          <w:szCs w:val="32"/>
        </w:rPr>
        <w:t>。实施农牧业碳达峰、碳中和战略，积极发展富碳农业，富碳草业。以耕地质量提升等为重点，巩固提升农牧业生态系统碳汇能力。发展生态循环农牧业，合理选择农牧业循环经济发展模式，推动多种形式的产业循环链接和集成发展，促进农牧业废弃物资源化、产业化、高值化利用，加快建立植物生产、动物转化、微生物还原的种养循环体系，打造生态农场样板。推动农牧业园区低碳循环，推动国家农业产业园区、自治区农牧业产业园区和产业集群循环化改造，完善园区循环农牧业产业链条，实现资源循环利用、废弃物集中安全处置、垃圾污水减量排放，形成种养加销一体、一二三产业联动发展的现代复合型经济产业体系。开展农牧业农村牧区可再生能源替代示范。</w:t>
      </w:r>
    </w:p>
    <w:p w14:paraId="4A03DA37">
      <w:pPr>
        <w:spacing w:line="580" w:lineRule="exact"/>
        <w:ind w:firstLine="640" w:firstLineChars="200"/>
        <w:rPr>
          <w:rFonts w:ascii="仿宋_GB2312" w:eastAsia="仿宋_GB2312"/>
          <w:bCs/>
          <w:sz w:val="32"/>
          <w:szCs w:val="32"/>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434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56563499">
            <w:pPr>
              <w:spacing w:line="580" w:lineRule="exact"/>
              <w:jc w:val="center"/>
              <w:rPr>
                <w:rFonts w:ascii="仿宋_GB2312" w:eastAsia="仿宋_GB2312"/>
                <w:sz w:val="28"/>
                <w:szCs w:val="28"/>
              </w:rPr>
            </w:pPr>
            <w:r>
              <w:rPr>
                <w:rFonts w:hint="eastAsia" w:ascii="黑体" w:hAnsi="黑体" w:eastAsia="黑体" w:cs="黑体"/>
                <w:sz w:val="28"/>
                <w:szCs w:val="28"/>
              </w:rPr>
              <w:t>专栏：农牧业绿色发展</w:t>
            </w:r>
          </w:p>
        </w:tc>
      </w:tr>
      <w:tr w14:paraId="0719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1A2D611A">
            <w:pPr>
              <w:spacing w:line="440" w:lineRule="exact"/>
              <w:ind w:firstLine="560" w:firstLineChars="200"/>
              <w:rPr>
                <w:rFonts w:ascii="仿宋_GB2312" w:eastAsia="仿宋_GB2312"/>
                <w:sz w:val="28"/>
              </w:rPr>
            </w:pPr>
            <w:r>
              <w:rPr>
                <w:rFonts w:hint="eastAsia" w:ascii="仿宋_GB2312" w:eastAsia="仿宋_GB2312"/>
                <w:sz w:val="28"/>
              </w:rPr>
              <w:t>1.农业高效节水。地下水灌溉区不新增灌溉面积、机电井、用水量，推广浅埋滴灌、膜下滴灌等技术措施，到2025年现有水浇地全部完成高效节改造，农田灌溉水有效利用系数达到0.579。</w:t>
            </w:r>
          </w:p>
          <w:p w14:paraId="2CB45690">
            <w:pPr>
              <w:spacing w:line="440" w:lineRule="exact"/>
              <w:ind w:firstLine="560" w:firstLineChars="200"/>
              <w:rPr>
                <w:rFonts w:ascii="仿宋_GB2312" w:eastAsia="仿宋_GB2312"/>
                <w:sz w:val="28"/>
              </w:rPr>
            </w:pPr>
            <w:r>
              <w:rPr>
                <w:rFonts w:hint="eastAsia" w:ascii="仿宋_GB2312" w:eastAsia="仿宋_GB2312"/>
                <w:sz w:val="28"/>
              </w:rPr>
              <w:t>2.化肥减量增效。依托耕地质量提升与化肥减量增效示范项目，集成推广测土配方施肥、水肥一体化、化肥机械深施、增施有机肥等技术。在疏菜重点产区实施有机肥替代化肥试点，重点推广堆肥还田、商品有机肥施用、沼渣沼液还田等技术模式。</w:t>
            </w:r>
          </w:p>
          <w:p w14:paraId="38F1392D">
            <w:pPr>
              <w:spacing w:line="440" w:lineRule="exact"/>
              <w:ind w:firstLine="560" w:firstLineChars="200"/>
              <w:rPr>
                <w:rFonts w:ascii="仿宋_GB2312" w:eastAsia="仿宋_GB2312"/>
                <w:sz w:val="28"/>
              </w:rPr>
            </w:pPr>
            <w:r>
              <w:rPr>
                <w:rFonts w:hint="eastAsia" w:ascii="仿宋_GB2312" w:eastAsia="仿宋_GB2312"/>
                <w:sz w:val="28"/>
              </w:rPr>
              <w:t>3.农药减量增效。重点推进绿色防控，推广物理、生物等农药减量技术模式。</w:t>
            </w:r>
          </w:p>
          <w:p w14:paraId="3A11EDAC">
            <w:pPr>
              <w:spacing w:line="440" w:lineRule="exact"/>
              <w:ind w:firstLine="560" w:firstLineChars="200"/>
              <w:rPr>
                <w:rFonts w:ascii="仿宋_GB2312" w:eastAsia="仿宋_GB2312"/>
                <w:sz w:val="28"/>
              </w:rPr>
            </w:pPr>
            <w:r>
              <w:rPr>
                <w:rFonts w:hint="eastAsia" w:ascii="仿宋_GB2312" w:eastAsia="仿宋_GB2312"/>
                <w:sz w:val="28"/>
              </w:rPr>
              <w:t>4.实施畜禽粪污资源化利用整县推进。依托畜禽粪污资源化利用项目，支持养殖场户建设、升级改造畜禽粪污收集、贮存、处理、利用设施。</w:t>
            </w:r>
          </w:p>
          <w:p w14:paraId="0A5A14A6">
            <w:pPr>
              <w:spacing w:line="440" w:lineRule="exact"/>
              <w:ind w:firstLine="560" w:firstLineChars="200"/>
              <w:rPr>
                <w:rFonts w:ascii="仿宋_GB2312" w:eastAsia="仿宋_GB2312"/>
                <w:sz w:val="28"/>
              </w:rPr>
            </w:pPr>
            <w:r>
              <w:rPr>
                <w:rFonts w:hint="eastAsia" w:ascii="仿宋_GB2312" w:eastAsia="仿宋_GB2312"/>
                <w:sz w:val="28"/>
              </w:rPr>
              <w:t>5.秸秆综合利用。依托秸秆综合利用项目，支持秸秆大县，全域推进秸秆综合利用，探索秸秆利用与地力提升补贴政策相挂钩机制。</w:t>
            </w:r>
          </w:p>
          <w:p w14:paraId="7A1F9E79">
            <w:pPr>
              <w:spacing w:line="440" w:lineRule="exact"/>
              <w:ind w:firstLine="560" w:firstLineChars="200"/>
              <w:rPr>
                <w:rFonts w:ascii="仿宋_GB2312" w:eastAsia="仿宋_GB2312"/>
                <w:sz w:val="28"/>
                <w:szCs w:val="28"/>
              </w:rPr>
            </w:pPr>
            <w:r>
              <w:rPr>
                <w:rFonts w:hint="eastAsia" w:ascii="仿宋_GB2312" w:eastAsia="仿宋_GB2312"/>
                <w:sz w:val="28"/>
              </w:rPr>
              <w:t>6.农膜回收处理。依托废旧农膜回收利用项目，推进农膜回收处理，探索农膜回收利用有效机制。</w:t>
            </w:r>
          </w:p>
        </w:tc>
      </w:tr>
    </w:tbl>
    <w:p w14:paraId="6D813234">
      <w:pPr>
        <w:spacing w:line="560" w:lineRule="exact"/>
        <w:rPr>
          <w:rFonts w:ascii="楷体_GB2312" w:hAnsi="仿宋" w:eastAsia="楷体_GB2312"/>
          <w:sz w:val="32"/>
          <w:szCs w:val="32"/>
        </w:rPr>
      </w:pPr>
      <w:bookmarkStart w:id="41" w:name="_Toc16665"/>
    </w:p>
    <w:p w14:paraId="7166FE0E">
      <w:pPr>
        <w:spacing w:line="560" w:lineRule="exact"/>
        <w:jc w:val="center"/>
        <w:rPr>
          <w:rFonts w:ascii="楷体_GB2312" w:hAnsi="仿宋" w:eastAsia="楷体_GB2312"/>
          <w:sz w:val="32"/>
          <w:szCs w:val="32"/>
        </w:rPr>
      </w:pPr>
      <w:r>
        <w:rPr>
          <w:rFonts w:hint="eastAsia" w:ascii="楷体_GB2312" w:hAnsi="仿宋" w:eastAsia="楷体_GB2312"/>
          <w:sz w:val="32"/>
          <w:szCs w:val="32"/>
        </w:rPr>
        <w:t>第九节 增强农牧业抗风险能力</w:t>
      </w:r>
    </w:p>
    <w:p w14:paraId="147EB951">
      <w:pPr>
        <w:spacing w:line="560" w:lineRule="exact"/>
        <w:ind w:firstLine="643" w:firstLineChars="200"/>
        <w:rPr>
          <w:rFonts w:ascii="仿宋_GB2312" w:eastAsia="仿宋_GB2312"/>
          <w:b/>
          <w:bCs/>
          <w:sz w:val="32"/>
        </w:rPr>
      </w:pPr>
    </w:p>
    <w:p w14:paraId="1561F617">
      <w:pPr>
        <w:spacing w:line="560" w:lineRule="exact"/>
        <w:ind w:firstLine="640" w:firstLineChars="200"/>
        <w:rPr>
          <w:rFonts w:ascii="仿宋_GB2312" w:eastAsia="仿宋_GB2312"/>
          <w:sz w:val="32"/>
        </w:rPr>
      </w:pPr>
      <w:r>
        <w:rPr>
          <w:rFonts w:hint="eastAsia" w:ascii="楷体_GB2312" w:hAnsi="黑体" w:eastAsia="楷体_GB2312" w:cs="楷体_GB2312"/>
          <w:bCs/>
          <w:kern w:val="0"/>
          <w:sz w:val="32"/>
          <w:szCs w:val="32"/>
        </w:rPr>
        <w:t>1.稳步推进农牧业保险发展。</w:t>
      </w:r>
      <w:r>
        <w:rPr>
          <w:rFonts w:hint="eastAsia" w:ascii="仿宋_GB2312" w:hAnsi="仿宋" w:eastAsia="仿宋_GB2312" w:cs="仿宋_GB2312"/>
          <w:kern w:val="0"/>
          <w:sz w:val="32"/>
          <w:szCs w:val="32"/>
        </w:rPr>
        <w:t>开展玉米等主要粮食作物完全成本保险试点，推进肉牛、肉羊养殖保险。探索开展天气指数保险、价格指数保险试点。探索开展特色农产品保险以奖代补政策试点。鼓励保险机构下沉服务重心，实现保险服务全覆盖。引导和鼓励农牧户、农牧民专业合作社参加农牧业保险，发挥农牧业保险灾害减损作用。</w:t>
      </w:r>
    </w:p>
    <w:p w14:paraId="5A4190C2">
      <w:pPr>
        <w:spacing w:line="560" w:lineRule="exact"/>
        <w:ind w:firstLine="640" w:firstLineChars="200"/>
        <w:rPr>
          <w:rFonts w:ascii="仿宋_GB2312" w:eastAsia="仿宋_GB2312"/>
          <w:sz w:val="32"/>
        </w:rPr>
      </w:pPr>
      <w:r>
        <w:rPr>
          <w:rFonts w:hint="eastAsia" w:ascii="楷体_GB2312" w:hAnsi="黑体" w:eastAsia="楷体_GB2312" w:cs="楷体_GB2312"/>
          <w:bCs/>
          <w:kern w:val="0"/>
          <w:sz w:val="32"/>
          <w:szCs w:val="32"/>
        </w:rPr>
        <w:t>2.加强灾害防御体系建设。</w:t>
      </w:r>
      <w:r>
        <w:rPr>
          <w:rFonts w:hint="eastAsia" w:ascii="仿宋_GB2312" w:hAnsi="仿宋" w:eastAsia="仿宋_GB2312" w:cs="仿宋_GB2312"/>
          <w:kern w:val="0"/>
          <w:sz w:val="32"/>
          <w:szCs w:val="32"/>
        </w:rPr>
        <w:t>健全动物防疫和农作物病虫害防治体系，加强自然灾害监测预警网络建设，完善灾害监测预报、快速评估、预警发布、应急处置和风险管控机制，全面提高农牧业抵御旱灾、洪灾、雪灾、火灾、病虫灾害等灾害的综合防范能力。完善农牧业应急储备体系，加强救灾物资、饲草料等储备库建设，不断提升应急处置能力。</w:t>
      </w:r>
    </w:p>
    <w:p w14:paraId="702D4F1C">
      <w:pPr>
        <w:spacing w:line="560" w:lineRule="exact"/>
        <w:ind w:firstLine="640" w:firstLineChars="200"/>
        <w:rPr>
          <w:rFonts w:ascii="仿宋_GB2312" w:hAnsi="仿宋_GB2312" w:eastAsia="仿宋_GB2312" w:cs="仿宋_GB2312"/>
          <w:kern w:val="0"/>
          <w:sz w:val="32"/>
          <w:szCs w:val="32"/>
        </w:rPr>
      </w:pPr>
      <w:r>
        <w:rPr>
          <w:rFonts w:hint="eastAsia" w:ascii="楷体_GB2312" w:hAnsi="楷体_GB2312" w:eastAsia="楷体_GB2312" w:cs="楷体_GB2312"/>
          <w:sz w:val="32"/>
        </w:rPr>
        <w:t>3.保障农牧业生产安全。</w:t>
      </w:r>
      <w:r>
        <w:rPr>
          <w:rFonts w:hint="eastAsia" w:ascii="仿宋_GB2312" w:hAnsi="仿宋" w:eastAsia="仿宋_GB2312" w:cs="仿宋_GB2312"/>
          <w:kern w:val="0"/>
          <w:sz w:val="32"/>
          <w:szCs w:val="32"/>
        </w:rPr>
        <w:t>健全农牧业安全生产制度体系，推动农牧业企业、农牧业专业合作社等生产经营主体建立完善全过程安全生产管理制度，强化农机、农药、渔业、畜禽屠宰、农村牧区可再生能源（沼气工程）等农牧业行业安全生产工作。</w:t>
      </w:r>
    </w:p>
    <w:p w14:paraId="0B81930F">
      <w:pPr>
        <w:spacing w:line="560" w:lineRule="exact"/>
        <w:ind w:firstLine="720" w:firstLineChars="200"/>
        <w:outlineLvl w:val="0"/>
        <w:rPr>
          <w:rFonts w:ascii="黑体" w:hAnsi="黑体" w:eastAsia="黑体" w:cs="黑体"/>
          <w:kern w:val="0"/>
          <w:sz w:val="36"/>
          <w:szCs w:val="36"/>
        </w:rPr>
      </w:pPr>
      <w:bookmarkStart w:id="42" w:name="_Toc94087876"/>
    </w:p>
    <w:p w14:paraId="680028A2">
      <w:pPr>
        <w:spacing w:line="560" w:lineRule="exact"/>
        <w:jc w:val="center"/>
        <w:outlineLvl w:val="0"/>
        <w:rPr>
          <w:rFonts w:ascii="黑体" w:hAnsi="黑体" w:eastAsia="黑体" w:cs="黑体"/>
          <w:kern w:val="0"/>
          <w:sz w:val="32"/>
          <w:szCs w:val="36"/>
        </w:rPr>
      </w:pPr>
      <w:r>
        <w:rPr>
          <w:rFonts w:hint="eastAsia" w:ascii="黑体" w:hAnsi="黑体" w:eastAsia="黑体" w:cs="黑体"/>
          <w:kern w:val="0"/>
          <w:sz w:val="32"/>
          <w:szCs w:val="36"/>
        </w:rPr>
        <w:t>第三章 统筹推进农村牧区现代化建设</w:t>
      </w:r>
      <w:bookmarkEnd w:id="41"/>
      <w:bookmarkEnd w:id="42"/>
    </w:p>
    <w:p w14:paraId="6D08F6C2">
      <w:pPr>
        <w:spacing w:line="560" w:lineRule="exact"/>
        <w:ind w:firstLine="640" w:firstLineChars="200"/>
        <w:rPr>
          <w:rFonts w:ascii="黑体" w:hAnsi="黑体" w:eastAsia="黑体" w:cs="宋体"/>
          <w:kern w:val="0"/>
          <w:sz w:val="32"/>
          <w:szCs w:val="32"/>
        </w:rPr>
      </w:pPr>
    </w:p>
    <w:p w14:paraId="5F1058ED">
      <w:pPr>
        <w:numPr>
          <w:ilvl w:val="0"/>
          <w:numId w:val="0"/>
        </w:numPr>
        <w:spacing w:line="560" w:lineRule="exact"/>
        <w:jc w:val="center"/>
        <w:outlineLvl w:val="1"/>
        <w:rPr>
          <w:rFonts w:ascii="楷体_GB2312" w:hAnsi="楷体_GB2312" w:eastAsia="楷体_GB2312" w:cs="楷体_GB2312"/>
          <w:bCs/>
          <w:kern w:val="0"/>
          <w:sz w:val="32"/>
          <w:szCs w:val="32"/>
        </w:rPr>
      </w:pPr>
      <w:bookmarkStart w:id="43" w:name="_Toc94087877"/>
      <w:bookmarkStart w:id="44" w:name="_Toc28455"/>
      <w:r>
        <w:rPr>
          <w:rFonts w:hint="eastAsia" w:ascii="楷体_GB2312" w:hAnsi="楷体_GB2312" w:eastAsia="楷体_GB2312" w:cs="楷体_GB2312"/>
          <w:bCs/>
          <w:kern w:val="0"/>
          <w:sz w:val="32"/>
          <w:szCs w:val="32"/>
        </w:rPr>
        <w:t xml:space="preserve">第一节 </w:t>
      </w:r>
      <w:r>
        <w:rPr>
          <w:rFonts w:ascii="楷体_GB2312" w:hAnsi="楷体_GB2312" w:eastAsia="楷体_GB2312" w:cs="楷体_GB2312"/>
          <w:bCs/>
          <w:kern w:val="0"/>
          <w:sz w:val="32"/>
          <w:szCs w:val="32"/>
        </w:rPr>
        <w:t>加快农村牧区现代化试点建设</w:t>
      </w:r>
      <w:bookmarkEnd w:id="43"/>
      <w:bookmarkEnd w:id="44"/>
    </w:p>
    <w:p w14:paraId="2D87343E">
      <w:pPr>
        <w:spacing w:line="560" w:lineRule="exact"/>
        <w:outlineLvl w:val="1"/>
        <w:rPr>
          <w:rFonts w:ascii="楷体_GB2312" w:hAnsi="楷体_GB2312" w:eastAsia="楷体_GB2312" w:cs="楷体_GB2312"/>
          <w:bCs/>
          <w:kern w:val="0"/>
          <w:sz w:val="32"/>
          <w:szCs w:val="32"/>
        </w:rPr>
      </w:pPr>
    </w:p>
    <w:p w14:paraId="3E8637AB">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1.全面推进牧区现代化建设。</w:t>
      </w:r>
      <w:r>
        <w:rPr>
          <w:rFonts w:hint="eastAsia" w:ascii="仿宋_GB2312" w:hAnsi="仿宋" w:eastAsia="仿宋_GB2312" w:cs="仿宋_GB2312"/>
          <w:kern w:val="0"/>
          <w:sz w:val="32"/>
          <w:szCs w:val="32"/>
        </w:rPr>
        <w:t>深入落实《内</w:t>
      </w:r>
      <w:r>
        <w:rPr>
          <w:rFonts w:ascii="仿宋_GB2312" w:hAnsi="仿宋" w:eastAsia="仿宋_GB2312" w:cs="仿宋_GB2312"/>
          <w:kern w:val="0"/>
          <w:sz w:val="32"/>
          <w:szCs w:val="32"/>
        </w:rPr>
        <w:t>蒙古</w:t>
      </w:r>
      <w:r>
        <w:rPr>
          <w:rFonts w:hint="eastAsia" w:ascii="仿宋_GB2312" w:hAnsi="仿宋" w:eastAsia="仿宋_GB2312" w:cs="仿宋_GB2312"/>
          <w:kern w:val="0"/>
          <w:sz w:val="32"/>
          <w:szCs w:val="32"/>
        </w:rPr>
        <w:t>自治区人</w:t>
      </w:r>
      <w:r>
        <w:rPr>
          <w:rFonts w:ascii="仿宋_GB2312" w:hAnsi="仿宋" w:eastAsia="仿宋_GB2312" w:cs="仿宋_GB2312"/>
          <w:kern w:val="0"/>
          <w:sz w:val="32"/>
          <w:szCs w:val="32"/>
        </w:rPr>
        <w:t>民政府</w:t>
      </w:r>
      <w:r>
        <w:rPr>
          <w:rFonts w:hint="eastAsia" w:ascii="仿宋_GB2312" w:hAnsi="仿宋" w:eastAsia="仿宋_GB2312" w:cs="仿宋_GB2312"/>
          <w:kern w:val="0"/>
          <w:sz w:val="32"/>
          <w:szCs w:val="32"/>
        </w:rPr>
        <w:t>办公厅关于印发〈牧区现代化三年行动方案（2020-2022年）〉的通知》（内政办发〔2020〕44号），按照“以点带面、梯次推进”的思路，加快推动阿鲁科尔沁旗牧区现代化试点工作，探索农牧交错带牧区现代化模式，创新草原生态补助资金的管理使用方式，发展智能化牧场、高标准舍饲圈养等现代设施畜牧业，传承草原生态游牧文化，创新牧区社会治理，持续改善生态环境，持续增加牧民收入。统筹各方面力量，系统性推进和高质量完成建设任务。总结提炼阿鲁科尔沁旗试点经验，丰富牧区现代化路径选择，推动试点逐步扩大到全市其他牧业旗，全面推开全市牧区现代化建设。</w:t>
      </w:r>
    </w:p>
    <w:p w14:paraId="2852FD78">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2.积极推进农区现代化试点。</w:t>
      </w:r>
      <w:r>
        <w:rPr>
          <w:rFonts w:hint="eastAsia" w:ascii="仿宋_GB2312" w:hAnsi="仿宋" w:eastAsia="仿宋_GB2312" w:cs="仿宋_GB2312"/>
          <w:kern w:val="0"/>
          <w:sz w:val="32"/>
          <w:szCs w:val="32"/>
        </w:rPr>
        <w:t>按照自治区关于农区现代化试点的部署要求，推进宁城县农区现代化试点工作，推进改善基础条件、培育主导产业、提升发展水平等方面的重点工作，按照三年建设期规划工作进度，建立工作专班，实行专项推进，为全市农区巩固脱贫攻坚成果同乡村振兴有效衔接发挥示范带动作用。率先实现农业高质高效、乡村宜居宜业、农民富裕富足，为全市农区现代化工作积累有益经验。</w:t>
      </w:r>
      <w:bookmarkStart w:id="45" w:name="_Toc94087878"/>
      <w:bookmarkStart w:id="46" w:name="_Toc10535"/>
    </w:p>
    <w:p w14:paraId="029A755A">
      <w:pPr>
        <w:spacing w:line="560" w:lineRule="exact"/>
        <w:ind w:firstLine="640" w:firstLineChars="200"/>
        <w:rPr>
          <w:rFonts w:ascii="仿宋_GB2312" w:hAnsi="仿宋_GB2312" w:eastAsia="仿宋_GB2312" w:cs="仿宋_GB2312"/>
          <w:kern w:val="0"/>
          <w:sz w:val="32"/>
          <w:szCs w:val="32"/>
        </w:rPr>
      </w:pPr>
    </w:p>
    <w:p w14:paraId="3B7F41AA">
      <w:pPr>
        <w:spacing w:line="560" w:lineRule="exact"/>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第二节 建设生态宜居乡村</w:t>
      </w:r>
      <w:bookmarkEnd w:id="45"/>
      <w:bookmarkEnd w:id="46"/>
    </w:p>
    <w:p w14:paraId="1FF12DD4">
      <w:pPr>
        <w:spacing w:line="560" w:lineRule="exact"/>
        <w:ind w:firstLine="640" w:firstLineChars="200"/>
        <w:outlineLvl w:val="1"/>
        <w:rPr>
          <w:rFonts w:ascii="楷体_GB2312" w:hAnsi="楷体_GB2312" w:eastAsia="楷体_GB2312" w:cs="楷体_GB2312"/>
          <w:bCs/>
          <w:kern w:val="0"/>
          <w:sz w:val="32"/>
          <w:szCs w:val="32"/>
        </w:rPr>
      </w:pPr>
    </w:p>
    <w:p w14:paraId="3519776B">
      <w:pPr>
        <w:spacing w:line="560" w:lineRule="exact"/>
        <w:ind w:firstLine="640" w:firstLineChars="200"/>
        <w:rPr>
          <w:rFonts w:ascii="仿宋_GB2312" w:hAnsi="仿宋_GB2312" w:eastAsia="仿宋_GB2312" w:cs="仿宋_GB2312"/>
          <w:kern w:val="0"/>
          <w:sz w:val="32"/>
          <w:szCs w:val="32"/>
        </w:rPr>
      </w:pPr>
      <w:bookmarkStart w:id="47" w:name="_Toc439"/>
      <w:bookmarkStart w:id="48" w:name="_Toc94087879"/>
      <w:r>
        <w:rPr>
          <w:rFonts w:hint="eastAsia" w:ascii="楷体_GB2312" w:hAnsi="黑体" w:eastAsia="楷体_GB2312" w:cs="楷体_GB2312"/>
          <w:bCs/>
          <w:kern w:val="0"/>
          <w:sz w:val="32"/>
          <w:szCs w:val="32"/>
        </w:rPr>
        <w:t>1.科学推进乡村规划</w:t>
      </w:r>
      <w:bookmarkEnd w:id="47"/>
      <w:r>
        <w:rPr>
          <w:rFonts w:hint="eastAsia" w:ascii="楷体_GB2312" w:hAnsi="黑体" w:eastAsia="楷体_GB2312" w:cs="楷体_GB2312"/>
          <w:bCs/>
          <w:kern w:val="0"/>
          <w:sz w:val="32"/>
          <w:szCs w:val="32"/>
        </w:rPr>
        <w:t>。</w:t>
      </w:r>
      <w:r>
        <w:rPr>
          <w:rFonts w:hint="eastAsia" w:ascii="仿宋_GB2312" w:hAnsi="仿宋" w:eastAsia="仿宋_GB2312" w:cs="仿宋_GB2312"/>
          <w:kern w:val="0"/>
          <w:sz w:val="32"/>
          <w:szCs w:val="32"/>
        </w:rPr>
        <w:t>强化县域国土空间管控，统筹划定落实永久基本农田、生态保护红线、城镇开发边界。按照“规划引领、有序推进”的思路,进一步修改完善嘎查村建设规划，充分考虑产业发展、生态保护、人居环境整治、脱贫攻坚、土地开发、文化传承等各方面因素，并与主体功能区规划、土地利用总体规划、县域发展规划等相衔接。鼓励推行“多规合一”，进一步优化村庄布局，结合旗县区国土空间规划，有序推进“多规合一”实用性村庄规划编制工作，做到农房建设有规划管理，行政嘎查村有村庄整治安排，生活生产空间合理分离。提升规划建设水平，注重突出地域特色和民族风貌，不搞大拆大建，遵循村庄发展规律，突出村庄的生态涵养功能，保留“望得见山、看得见水、记得住乡愁”的乡村风貌，稳妥推进乡村建设。</w:t>
      </w:r>
      <w:bookmarkEnd w:id="48"/>
    </w:p>
    <w:p w14:paraId="09BA3427">
      <w:pPr>
        <w:spacing w:line="560" w:lineRule="exact"/>
        <w:ind w:firstLine="640" w:firstLineChars="200"/>
        <w:rPr>
          <w:rFonts w:ascii="仿宋_GB2312" w:hAnsi="仿宋_GB2312" w:eastAsia="仿宋_GB2312" w:cs="仿宋_GB2312"/>
          <w:kern w:val="0"/>
          <w:sz w:val="32"/>
          <w:szCs w:val="32"/>
        </w:rPr>
      </w:pPr>
      <w:bookmarkStart w:id="49" w:name="_Toc94087880"/>
      <w:bookmarkStart w:id="50" w:name="_Toc7454"/>
      <w:bookmarkStart w:id="51" w:name="_Toc12876"/>
      <w:bookmarkStart w:id="52" w:name="_Toc27747"/>
      <w:r>
        <w:rPr>
          <w:rFonts w:hint="eastAsia" w:ascii="楷体_GB2312" w:hAnsi="黑体" w:eastAsia="楷体_GB2312" w:cs="楷体_GB2312"/>
          <w:bCs/>
          <w:kern w:val="0"/>
          <w:sz w:val="32"/>
          <w:szCs w:val="32"/>
        </w:rPr>
        <w:t>2.完善农村牧区基础设施。</w:t>
      </w:r>
      <w:r>
        <w:rPr>
          <w:rFonts w:hint="eastAsia" w:ascii="仿宋_GB2312" w:hAnsi="仿宋" w:eastAsia="仿宋_GB2312" w:cs="仿宋_GB2312"/>
          <w:kern w:val="0"/>
          <w:sz w:val="32"/>
          <w:szCs w:val="32"/>
        </w:rPr>
        <w:t>实施乡村建设行动，全面加强嘎查村道路、交通、供水、排污、电力、通讯等基础设施建设，构建农村牧区基础设施服务网络体系，推动农村牧区基础设施提档升级。持续抓好“四好农村路”建设，建成“外通内联、通村畅乡、客车到村、安全便捷”的农村牧区交通运输网络，推进城乡客运服务一体化，推动城市公共交通线路向城市周边延伸。加快实施农村安全饮水巩固提升工程，提高农村牧区通自来水率、供水保证率、水质达标率和工程运行管理能力，健全长效运行管护机制，提升农村牧区供水工程保障水平。抓好新一轮农村电网改造，确保农电项目“规划到村、设计到户”。大力发展太阳能、生物质能，开展风光互补利用，实现供能方式多元化。发展农村牧区物流网络体系，建设集客货运、邮政快递、电商于一体的苏</w:t>
      </w:r>
      <w:r>
        <w:rPr>
          <w:rFonts w:ascii="仿宋_GB2312" w:hAnsi="仿宋" w:eastAsia="仿宋_GB2312" w:cs="仿宋_GB2312"/>
          <w:kern w:val="0"/>
          <w:sz w:val="32"/>
          <w:szCs w:val="32"/>
        </w:rPr>
        <w:t>木</w:t>
      </w:r>
      <w:r>
        <w:rPr>
          <w:rFonts w:hint="eastAsia" w:ascii="仿宋_GB2312" w:hAnsi="仿宋" w:eastAsia="仿宋_GB2312" w:cs="仿宋_GB2312"/>
          <w:kern w:val="0"/>
          <w:sz w:val="32"/>
          <w:szCs w:val="32"/>
        </w:rPr>
        <w:t>乡镇综合运输服务站。</w:t>
      </w:r>
      <w:bookmarkEnd w:id="49"/>
      <w:bookmarkEnd w:id="50"/>
      <w:bookmarkEnd w:id="51"/>
      <w:bookmarkEnd w:id="52"/>
    </w:p>
    <w:p w14:paraId="6D36D0C9">
      <w:pPr>
        <w:spacing w:line="560" w:lineRule="exact"/>
        <w:ind w:firstLine="640" w:firstLineChars="200"/>
        <w:rPr>
          <w:rFonts w:ascii="仿宋_GB2312" w:hAnsi="仿宋" w:eastAsia="仿宋_GB2312" w:cs="仿宋_GB2312"/>
          <w:kern w:val="0"/>
          <w:sz w:val="32"/>
          <w:szCs w:val="32"/>
        </w:rPr>
      </w:pPr>
      <w:bookmarkStart w:id="53" w:name="_Toc20487"/>
      <w:bookmarkStart w:id="54" w:name="_Toc13242"/>
      <w:bookmarkStart w:id="55" w:name="_Toc8885"/>
      <w:bookmarkStart w:id="56" w:name="_Toc94087881"/>
      <w:r>
        <w:rPr>
          <w:rFonts w:hint="eastAsia" w:ascii="楷体_GB2312" w:hAnsi="黑体" w:eastAsia="楷体_GB2312" w:cs="楷体_GB2312"/>
          <w:bCs/>
          <w:kern w:val="0"/>
          <w:sz w:val="32"/>
          <w:szCs w:val="32"/>
        </w:rPr>
        <w:t>3.加快美丽农村牧区建设。</w:t>
      </w:r>
      <w:r>
        <w:rPr>
          <w:rFonts w:hint="eastAsia" w:ascii="仿宋_GB2312" w:hAnsi="仿宋" w:eastAsia="仿宋_GB2312" w:cs="仿宋_GB2312"/>
          <w:kern w:val="0"/>
          <w:sz w:val="32"/>
          <w:szCs w:val="32"/>
        </w:rPr>
        <w:t>鼓励农牧民通过自筹资金、农村牧区产权抵押融资、引入社会资金合作开发等方式筹集建设资金，加快推进旧村散居院落的改造提升和传统村庄院落民居的保护修复，保护和挖掘农村牧区的传统文化，分类推进美丽乡村建设，探索更符合新时代农村牧区建设实际的投资模式和运营模式。</w:t>
      </w:r>
      <w:bookmarkEnd w:id="53"/>
      <w:bookmarkEnd w:id="54"/>
      <w:bookmarkEnd w:id="55"/>
      <w:bookmarkEnd w:id="56"/>
    </w:p>
    <w:p w14:paraId="3D237617">
      <w:pPr>
        <w:spacing w:line="560" w:lineRule="exact"/>
        <w:ind w:firstLine="640" w:firstLineChars="200"/>
        <w:rPr>
          <w:rFonts w:ascii="仿宋_GB2312" w:hAnsi="仿宋_GB2312" w:eastAsia="仿宋_GB2312" w:cs="仿宋_GB2312"/>
          <w:kern w:val="0"/>
          <w:sz w:val="32"/>
          <w:szCs w:val="32"/>
        </w:rPr>
      </w:pPr>
      <w:bookmarkStart w:id="57" w:name="_Toc27853"/>
      <w:bookmarkStart w:id="58" w:name="_Toc94087882"/>
      <w:bookmarkStart w:id="59" w:name="_Toc13088"/>
      <w:bookmarkStart w:id="60" w:name="_Toc18428"/>
      <w:r>
        <w:rPr>
          <w:rFonts w:hint="eastAsia" w:ascii="楷体_GB2312" w:hAnsi="黑体" w:eastAsia="楷体_GB2312" w:cs="楷体_GB2312"/>
          <w:bCs/>
          <w:kern w:val="0"/>
          <w:sz w:val="32"/>
          <w:szCs w:val="32"/>
        </w:rPr>
        <w:t>4.整治提升农村牧区人居环境。</w:t>
      </w:r>
      <w:r>
        <w:rPr>
          <w:rFonts w:hint="eastAsia" w:ascii="仿宋_GB2312" w:hAnsi="仿宋" w:eastAsia="仿宋_GB2312" w:cs="仿宋_GB2312"/>
          <w:kern w:val="0"/>
          <w:sz w:val="32"/>
          <w:szCs w:val="32"/>
        </w:rPr>
        <w:t>持续推进农村牧区厕所革命，实施农村牧区人居环境整治提升五年行动。持续推进农村牧区厕所革命、生活垃圾、污水治理等重点项目建设。坚持宜水则水、宜旱则旱，加快推进农村牧区厕所革命进度，统筹厕所粪污无害化处理和资源化利用。梯次推进农村牧区生活污水和垃圾处理，加强农村牧区污水、黑臭水体治理，因地制宜建设污水处理设施。推行农村牧区生活垃圾源头分类减量和末端处理相结合的治理模式，进一步完善农村牧区生活垃圾收运处置体系。整体提升村容村貌，持续推进以“清四堆、治四乱、创四有”为主要内容村庄清洁行动和绿化行动，开展美丽宜居村庄、绿化美化示范乡村、美丽庭院示范创建。认真执行《赤峰市农村牧区人居环境治理条例》，健全农村牧区人居环境设施管护机制。全力推进乡村绿化美化建设，加快实施乡村绿化行动。健全完善农村牧区人居环境后期管护长效机制，积极引导社会资本参与农村牧区人居环境治理。</w:t>
      </w:r>
      <w:bookmarkEnd w:id="57"/>
      <w:bookmarkEnd w:id="58"/>
      <w:bookmarkEnd w:id="59"/>
      <w:bookmarkEnd w:id="60"/>
    </w:p>
    <w:p w14:paraId="03873311">
      <w:pPr>
        <w:spacing w:line="560" w:lineRule="exact"/>
        <w:ind w:firstLine="640" w:firstLineChars="200"/>
        <w:rPr>
          <w:rFonts w:ascii="仿宋_GB2312" w:hAnsi="仿宋_GB2312" w:eastAsia="仿宋_GB2312" w:cs="仿宋_GB2312"/>
          <w:kern w:val="0"/>
          <w:sz w:val="32"/>
          <w:szCs w:val="32"/>
        </w:rPr>
      </w:pPr>
      <w:bookmarkStart w:id="61" w:name="_Toc94087883"/>
      <w:r>
        <w:rPr>
          <w:rFonts w:hint="eastAsia" w:ascii="楷体_GB2312" w:hAnsi="黑体" w:eastAsia="楷体_GB2312" w:cs="楷体_GB2312"/>
          <w:bCs/>
          <w:kern w:val="0"/>
          <w:sz w:val="32"/>
          <w:szCs w:val="32"/>
        </w:rPr>
        <w:t>5.加快数字乡村建设。</w:t>
      </w:r>
      <w:r>
        <w:rPr>
          <w:rFonts w:hint="eastAsia" w:ascii="仿宋_GB2312" w:hAnsi="仿宋" w:eastAsia="仿宋_GB2312" w:cs="仿宋_GB2312"/>
          <w:kern w:val="0"/>
          <w:sz w:val="32"/>
          <w:szCs w:val="32"/>
        </w:rPr>
        <w:t>加强农村牧区信息基础建设，加强农村牧区光纤及广播电视网络建设，推动农村牧区基础政务信息化应用，推广远程教育、远程医疗、金融网点进嘎查村等信息服务，实现办事不出村。推进数字乡村建设，提高“三农三牧”信息服务能力。加快农村牧区旅游数字化建设，提高宣传营销影响力。提升农村牧区数字化管理水平，完善乡村网格化管理。</w:t>
      </w:r>
      <w:bookmarkEnd w:id="61"/>
    </w:p>
    <w:p w14:paraId="0536C2DF">
      <w:pPr>
        <w:spacing w:line="20" w:lineRule="exact"/>
      </w:pPr>
    </w:p>
    <w:tbl>
      <w:tblPr>
        <w:tblStyle w:val="4"/>
        <w:tblW w:w="4989" w:type="pct"/>
        <w:jc w:val="center"/>
        <w:tblLayout w:type="autofit"/>
        <w:tblCellMar>
          <w:top w:w="0" w:type="dxa"/>
          <w:left w:w="0" w:type="dxa"/>
          <w:bottom w:w="0" w:type="dxa"/>
          <w:right w:w="0" w:type="dxa"/>
        </w:tblCellMar>
      </w:tblPr>
      <w:tblGrid>
        <w:gridCol w:w="9097"/>
      </w:tblGrid>
      <w:tr w14:paraId="7FBA3434">
        <w:tblPrEx>
          <w:tblCellMar>
            <w:top w:w="0" w:type="dxa"/>
            <w:left w:w="0" w:type="dxa"/>
            <w:bottom w:w="0" w:type="dxa"/>
            <w:right w:w="0" w:type="dxa"/>
          </w:tblCellMar>
        </w:tblPrEx>
        <w:trPr>
          <w:trHeight w:val="397" w:hRule="atLeast"/>
          <w:jc w:val="center"/>
        </w:trPr>
        <w:tc>
          <w:tcPr>
            <w:tcW w:w="8504" w:type="dxa"/>
            <w:tcBorders>
              <w:top w:val="single" w:color="auto" w:sz="8" w:space="0"/>
              <w:left w:val="single" w:color="auto" w:sz="8" w:space="0"/>
              <w:bottom w:val="single" w:color="auto" w:sz="4" w:space="0"/>
              <w:right w:val="single" w:color="auto" w:sz="8" w:space="0"/>
            </w:tcBorders>
            <w:noWrap w:val="0"/>
            <w:tcMar>
              <w:top w:w="0" w:type="dxa"/>
              <w:left w:w="108" w:type="dxa"/>
              <w:bottom w:w="0" w:type="dxa"/>
              <w:right w:w="108" w:type="dxa"/>
            </w:tcMar>
            <w:vAlign w:val="top"/>
          </w:tcPr>
          <w:p w14:paraId="54A289D7">
            <w:pPr>
              <w:spacing w:line="580" w:lineRule="exact"/>
              <w:jc w:val="center"/>
              <w:rPr>
                <w:rFonts w:ascii="仿宋_GB2312" w:eastAsia="仿宋_GB2312"/>
                <w:b/>
                <w:bCs/>
                <w:sz w:val="28"/>
                <w:szCs w:val="28"/>
              </w:rPr>
            </w:pPr>
            <w:r>
              <w:rPr>
                <w:rFonts w:hint="eastAsia" w:ascii="黑体" w:hAnsi="黑体" w:eastAsia="黑体" w:cs="黑体"/>
                <w:sz w:val="28"/>
                <w:szCs w:val="28"/>
              </w:rPr>
              <w:t>专栏：建设生态宜居乡村</w:t>
            </w:r>
          </w:p>
        </w:tc>
      </w:tr>
      <w:tr w14:paraId="6D61A10B">
        <w:tblPrEx>
          <w:tblCellMar>
            <w:top w:w="0" w:type="dxa"/>
            <w:left w:w="0" w:type="dxa"/>
            <w:bottom w:w="0" w:type="dxa"/>
            <w:right w:w="0" w:type="dxa"/>
          </w:tblCellMar>
        </w:tblPrEx>
        <w:trPr>
          <w:trHeight w:val="907" w:hRule="atLeast"/>
          <w:jc w:val="center"/>
        </w:trPr>
        <w:tc>
          <w:tcPr>
            <w:tcW w:w="85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17EFD39F">
            <w:pPr>
              <w:spacing w:line="440" w:lineRule="exact"/>
              <w:ind w:firstLine="560" w:firstLineChars="200"/>
              <w:rPr>
                <w:rFonts w:ascii="仿宋_GB2312" w:eastAsia="仿宋_GB2312"/>
                <w:sz w:val="28"/>
              </w:rPr>
            </w:pPr>
            <w:r>
              <w:rPr>
                <w:rFonts w:hint="eastAsia" w:ascii="仿宋_GB2312" w:eastAsia="仿宋_GB2312"/>
                <w:sz w:val="28"/>
              </w:rPr>
              <w:t>1.“四好农村路”建设。全面建设好、管理好、养护好、运营好农村牧区公路。推动各旗县落实农村牧区公路养护管理主体责任，健全农村牧区公路养护管理机构、充实养护人员、落实养护经费。全面推行农村牧区公路“路长制”制度。加快旅游公路建设，加强贫困地区资源路、旅游路、产业路建设，加快国有林区道路建设，推动农村公路“进村入户”。加快完善农村牧区公路客运服务网络。</w:t>
            </w:r>
          </w:p>
          <w:p w14:paraId="30346C76">
            <w:pPr>
              <w:spacing w:line="440" w:lineRule="exact"/>
              <w:ind w:firstLine="560" w:firstLineChars="200"/>
              <w:rPr>
                <w:rFonts w:ascii="仿宋_GB2312" w:eastAsia="仿宋_GB2312"/>
                <w:sz w:val="28"/>
              </w:rPr>
            </w:pPr>
            <w:r>
              <w:rPr>
                <w:rFonts w:hint="eastAsia" w:ascii="仿宋_GB2312" w:eastAsia="仿宋_GB2312"/>
                <w:sz w:val="28"/>
              </w:rPr>
              <w:t>2.农村牧区供水保障。推进农村牧区水源保护和供水保障工程建设，更新改造一批老旧供水工程和管网，提高规模化供水工程覆盖农村人口比例。</w:t>
            </w:r>
          </w:p>
          <w:p w14:paraId="4A13126B">
            <w:pPr>
              <w:spacing w:line="440" w:lineRule="exact"/>
              <w:ind w:firstLine="560" w:firstLineChars="200"/>
              <w:rPr>
                <w:rFonts w:ascii="仿宋_GB2312" w:eastAsia="仿宋_GB2312"/>
                <w:sz w:val="28"/>
              </w:rPr>
            </w:pPr>
            <w:r>
              <w:rPr>
                <w:rFonts w:hint="eastAsia" w:ascii="仿宋_GB2312" w:eastAsia="仿宋_GB2312"/>
                <w:sz w:val="28"/>
              </w:rPr>
              <w:t>3.村庄公共基础设施建设。按照集聚提升、城郊融合、特色保护、搬迁撤并的村庄分类建设路径，采取填平补齐、分类推进的方式，对行政嘎查村实施集聚提升。强化对特色保护类村庄的保护，适当兼顾城郊融合类村庄。到2025年，50%的村庄建有完备的综合性公共服务中心，设施条件有大的改善，公共服务水平有大的提升。</w:t>
            </w:r>
          </w:p>
          <w:p w14:paraId="74400D4F">
            <w:pPr>
              <w:spacing w:line="440" w:lineRule="exact"/>
              <w:ind w:firstLine="560" w:firstLineChars="200"/>
              <w:rPr>
                <w:rFonts w:ascii="仿宋_GB2312" w:eastAsia="仿宋_GB2312"/>
                <w:sz w:val="28"/>
              </w:rPr>
            </w:pPr>
            <w:r>
              <w:rPr>
                <w:rFonts w:hint="eastAsia" w:ascii="仿宋_GB2312" w:eastAsia="仿宋_GB2312"/>
                <w:sz w:val="28"/>
              </w:rPr>
              <w:t>4</w:t>
            </w:r>
            <w:r>
              <w:rPr>
                <w:rFonts w:ascii="仿宋_GB2312" w:eastAsia="仿宋_GB2312"/>
                <w:sz w:val="28"/>
              </w:rPr>
              <w:t>.</w:t>
            </w:r>
            <w:r>
              <w:rPr>
                <w:rFonts w:hint="eastAsia" w:ascii="仿宋_GB2312" w:eastAsia="仿宋_GB2312"/>
                <w:sz w:val="28"/>
              </w:rPr>
              <w:t>农村牧区物流基础设施网络建设。支持农贸市场等传统流通网点改进提升现有设施设备，拓展配送等物流服务功能。完善农村牧区客货运服务网络，支持农村牧区客货运场站网络建设和改造，建设面向农村牧区的共同配送中心，创新农村牧区客运和物流配送组织模式。</w:t>
            </w:r>
          </w:p>
          <w:p w14:paraId="4DF78806">
            <w:pPr>
              <w:spacing w:line="440" w:lineRule="exact"/>
              <w:ind w:firstLine="560" w:firstLineChars="200"/>
              <w:rPr>
                <w:rFonts w:ascii="仿宋_GB2312" w:eastAsia="仿宋_GB2312"/>
                <w:sz w:val="28"/>
              </w:rPr>
            </w:pPr>
            <w:r>
              <w:rPr>
                <w:rFonts w:hint="eastAsia" w:ascii="仿宋_GB2312" w:eastAsia="仿宋_GB2312"/>
                <w:sz w:val="28"/>
              </w:rPr>
              <w:t>5</w:t>
            </w:r>
            <w:r>
              <w:rPr>
                <w:rFonts w:ascii="仿宋_GB2312" w:eastAsia="仿宋_GB2312"/>
                <w:sz w:val="28"/>
              </w:rPr>
              <w:t>.</w:t>
            </w:r>
            <w:r>
              <w:rPr>
                <w:rFonts w:hint="eastAsia" w:ascii="仿宋_GB2312" w:eastAsia="仿宋_GB2312"/>
                <w:sz w:val="28"/>
              </w:rPr>
              <w:t>深入推进厕所革命。城市近郊及其他环境容量较小地区的村庄，扎实推进户用卫生厕所建设和改造，同步实施厕所粪污治理。其他地区按照群众接受、经济适用、使用和维护方便、不污染公共水体的要求，有序推进农村牧区厕所革命。</w:t>
            </w:r>
          </w:p>
          <w:p w14:paraId="69C90180">
            <w:pPr>
              <w:spacing w:line="440" w:lineRule="exact"/>
              <w:ind w:firstLine="560" w:firstLineChars="200"/>
              <w:rPr>
                <w:rFonts w:ascii="仿宋_GB2312" w:eastAsia="仿宋_GB2312"/>
                <w:sz w:val="28"/>
              </w:rPr>
            </w:pPr>
            <w:r>
              <w:rPr>
                <w:rFonts w:hint="eastAsia" w:ascii="仿宋_GB2312" w:eastAsia="仿宋_GB2312"/>
                <w:sz w:val="28"/>
              </w:rPr>
              <w:t>6</w:t>
            </w:r>
            <w:r>
              <w:rPr>
                <w:rFonts w:ascii="仿宋_GB2312" w:eastAsia="仿宋_GB2312"/>
                <w:sz w:val="28"/>
              </w:rPr>
              <w:t>.</w:t>
            </w:r>
            <w:r>
              <w:rPr>
                <w:rFonts w:hint="eastAsia" w:ascii="仿宋_GB2312" w:eastAsia="仿宋_GB2312"/>
                <w:sz w:val="28"/>
              </w:rPr>
              <w:t>农村牧区垃圾治理。建立健全村庄保洁体系，因地制宜确定农村牧区生活垃圾处理模式，交通便利且转运距离较近的村庄可依托城镇无害化处理设施集中处理，其他村庄可就近分散处理。总结推广农村牧区垃圾分类和资源化利用试点旗县经验，基本覆盖所有具备条件的旗县。</w:t>
            </w:r>
          </w:p>
          <w:p w14:paraId="38352C8D">
            <w:pPr>
              <w:spacing w:line="440" w:lineRule="exact"/>
              <w:ind w:firstLine="560" w:firstLineChars="200"/>
              <w:rPr>
                <w:rFonts w:ascii="仿宋_GB2312" w:eastAsia="仿宋_GB2312"/>
                <w:sz w:val="28"/>
              </w:rPr>
            </w:pPr>
            <w:r>
              <w:rPr>
                <w:rFonts w:hint="eastAsia" w:ascii="仿宋_GB2312" w:eastAsia="仿宋_GB2312"/>
                <w:sz w:val="28"/>
              </w:rPr>
              <w:t>7</w:t>
            </w:r>
            <w:r>
              <w:rPr>
                <w:rFonts w:ascii="仿宋_GB2312" w:eastAsia="仿宋_GB2312"/>
                <w:sz w:val="28"/>
              </w:rPr>
              <w:t>.</w:t>
            </w:r>
            <w:r>
              <w:rPr>
                <w:rFonts w:hint="eastAsia" w:ascii="仿宋_GB2312" w:eastAsia="仿宋_GB2312"/>
                <w:sz w:val="28"/>
              </w:rPr>
              <w:t>农村牧区生活污水治理。有条件的地区推进城镇污水处理设施和服务向城镇近郊的农村牧区延伸，其他村庄以分散处理为主。开展生活污水源头减量和尾水回收利用。</w:t>
            </w:r>
          </w:p>
        </w:tc>
      </w:tr>
    </w:tbl>
    <w:p w14:paraId="52CAC854">
      <w:pPr>
        <w:keepNext/>
        <w:keepLines/>
        <w:spacing w:line="20" w:lineRule="exact"/>
        <w:jc w:val="center"/>
        <w:outlineLvl w:val="1"/>
        <w:rPr>
          <w:rFonts w:ascii="楷体_GB2312" w:hAnsi="Calibri Light" w:eastAsia="楷体_GB2312"/>
          <w:bCs/>
          <w:sz w:val="32"/>
          <w:szCs w:val="32"/>
          <w:lang w:val="en"/>
        </w:rPr>
      </w:pPr>
      <w:bookmarkStart w:id="62" w:name="_Toc94087884"/>
      <w:bookmarkStart w:id="63" w:name="_Toc11359"/>
    </w:p>
    <w:p w14:paraId="29A10A1D">
      <w:pPr>
        <w:keepNext/>
        <w:keepLines/>
        <w:spacing w:line="560" w:lineRule="exact"/>
        <w:jc w:val="center"/>
        <w:outlineLvl w:val="1"/>
        <w:rPr>
          <w:rFonts w:ascii="楷体_GB2312" w:hAnsi="Calibri Light" w:eastAsia="楷体_GB2312"/>
          <w:bCs/>
          <w:sz w:val="32"/>
          <w:szCs w:val="32"/>
          <w:lang w:val="en"/>
        </w:rPr>
      </w:pPr>
    </w:p>
    <w:p w14:paraId="6872BB70">
      <w:pPr>
        <w:keepNext/>
        <w:keepLines/>
        <w:spacing w:line="560" w:lineRule="exact"/>
        <w:jc w:val="center"/>
        <w:outlineLvl w:val="1"/>
        <w:rPr>
          <w:rFonts w:ascii="楷体_GB2312" w:hAnsi="Calibri Light" w:eastAsia="楷体_GB2312"/>
          <w:bCs/>
          <w:sz w:val="32"/>
          <w:szCs w:val="32"/>
        </w:rPr>
      </w:pPr>
      <w:r>
        <w:rPr>
          <w:rFonts w:hint="eastAsia" w:ascii="楷体_GB2312" w:hAnsi="Calibri Light" w:eastAsia="楷体_GB2312"/>
          <w:bCs/>
          <w:sz w:val="32"/>
          <w:szCs w:val="32"/>
          <w:lang w:val="en"/>
        </w:rPr>
        <w:t>第</w:t>
      </w:r>
      <w:r>
        <w:rPr>
          <w:rFonts w:hint="eastAsia" w:ascii="楷体_GB2312" w:hAnsi="Calibri Light" w:eastAsia="楷体_GB2312"/>
          <w:bCs/>
          <w:sz w:val="32"/>
          <w:szCs w:val="32"/>
        </w:rPr>
        <w:t>三节 提升农村牧区基本公共服务水平</w:t>
      </w:r>
      <w:bookmarkEnd w:id="62"/>
      <w:bookmarkEnd w:id="63"/>
      <w:bookmarkStart w:id="64" w:name="_Toc69550216"/>
      <w:bookmarkStart w:id="65" w:name="_Toc12811"/>
      <w:bookmarkStart w:id="66" w:name="_Toc8311"/>
    </w:p>
    <w:p w14:paraId="01B11E3E">
      <w:pPr>
        <w:spacing w:line="560" w:lineRule="exact"/>
      </w:pPr>
    </w:p>
    <w:bookmarkEnd w:id="64"/>
    <w:bookmarkEnd w:id="65"/>
    <w:bookmarkEnd w:id="66"/>
    <w:p w14:paraId="5C8EA93C">
      <w:pPr>
        <w:spacing w:line="560" w:lineRule="exact"/>
        <w:ind w:firstLine="640"/>
        <w:rPr>
          <w:rFonts w:ascii="仿宋_GB2312" w:eastAsia="仿宋_GB2312"/>
          <w:b/>
          <w:sz w:val="32"/>
        </w:rPr>
      </w:pPr>
      <w:r>
        <w:rPr>
          <w:rFonts w:hint="eastAsia" w:ascii="楷体_GB2312" w:hAnsi="宋体" w:eastAsia="楷体_GB2312" w:cs="楷体_GB2312"/>
          <w:bCs/>
          <w:sz w:val="32"/>
        </w:rPr>
        <w:t>1.优先发展农村牧区教育事业。</w:t>
      </w:r>
      <w:r>
        <w:rPr>
          <w:rFonts w:hint="eastAsia" w:ascii="仿宋_GB2312" w:hAnsi="仿宋" w:eastAsia="仿宋_GB2312" w:cs="仿宋_GB2312"/>
          <w:kern w:val="0"/>
          <w:sz w:val="32"/>
          <w:szCs w:val="32"/>
        </w:rPr>
        <w:t>完善优化城乡义务教育学校规划布局，推动城乡义务教育一体化发展，深入推进县域义务教育优质均衡发展，提高基本公共教育服务均等化水平。加强农村牧区普惠性幼儿园或学前教育服务点建设，每个苏木乡镇至少办好1所公办中心幼儿园。提升农村牧区小规模学校和苏木乡镇寄宿制学校办学水平。推动乡村义务教育学校和幼儿园教师培训计划，县域教师资源均衡配置。全面落实乡村教师乡镇工作补贴、集中连片特困地区生活补助等政策。到</w:t>
      </w:r>
      <w:r>
        <w:rPr>
          <w:rFonts w:ascii="仿宋_GB2312" w:hAnsi="仿宋" w:eastAsia="仿宋_GB2312" w:cs="仿宋_GB2312"/>
          <w:kern w:val="0"/>
          <w:sz w:val="32"/>
          <w:szCs w:val="32"/>
        </w:rPr>
        <w:t>2025</w:t>
      </w:r>
      <w:r>
        <w:rPr>
          <w:rFonts w:hint="eastAsia" w:ascii="仿宋_GB2312" w:hAnsi="仿宋" w:eastAsia="仿宋_GB2312" w:cs="仿宋_GB2312"/>
          <w:kern w:val="0"/>
          <w:sz w:val="32"/>
          <w:szCs w:val="32"/>
        </w:rPr>
        <w:t>年，实现学前三年毛入园率稳定在95%以上，普惠性幼儿园覆盖率达到85%以上，公办园在园幼儿占比达到55%以上，义务教育巩固率稳定在95%以上的目标。支持职业院校加大对农牧民工的职业技能培训力度，丰富培训形式，扩充培训内容，重点开展面向“三农三牧”和乡村振兴等方面的技能培训。</w:t>
      </w:r>
      <w:bookmarkStart w:id="67" w:name="_Toc19489"/>
      <w:bookmarkStart w:id="68" w:name="_Toc69550217"/>
      <w:bookmarkStart w:id="69" w:name="_Toc25054"/>
    </w:p>
    <w:p w14:paraId="63FCF38F">
      <w:pPr>
        <w:spacing w:line="560" w:lineRule="exact"/>
        <w:ind w:firstLine="640"/>
        <w:rPr>
          <w:rFonts w:ascii="仿宋_GB2312" w:eastAsia="仿宋_GB2312"/>
          <w:sz w:val="32"/>
        </w:rPr>
      </w:pPr>
      <w:r>
        <w:rPr>
          <w:rFonts w:hint="eastAsia" w:ascii="楷体_GB2312" w:hAnsi="宋体" w:eastAsia="楷体_GB2312" w:cs="楷体_GB2312"/>
          <w:bCs/>
          <w:sz w:val="32"/>
        </w:rPr>
        <w:t>2.加强健康乡村建设。</w:t>
      </w:r>
      <w:bookmarkEnd w:id="67"/>
      <w:bookmarkEnd w:id="68"/>
      <w:bookmarkEnd w:id="69"/>
      <w:r>
        <w:rPr>
          <w:rFonts w:hint="eastAsia" w:ascii="仿宋_GB2312" w:hAnsi="仿宋" w:eastAsia="仿宋_GB2312" w:cs="仿宋_GB2312"/>
          <w:kern w:val="0"/>
          <w:sz w:val="32"/>
          <w:szCs w:val="32"/>
        </w:rPr>
        <w:t>深入开展健康素养提升行动，加强健康教育宣传，广泛开展健康教育讲座，健全完善农村牧区健康促进与教育工作体系。深入开展爱国卫生运动，全面开展农村牧区环境卫生综合整治，健全卫生管理长效机制，努力改善环境。做好农村牧区新冠肺炎、鼠疫等疫情防控常态化工作，加大重大传染病、地方病和慢性病防控力度，提升公共卫生服务能力。突出重点人群健康服务，以贫困地区为重点，突出抓好老年人、妇女、儿童、残疾人和流动人口健康服务工作。加强农村牧区旗县中（蒙）医院、苏木乡镇卫生院标准化和乡村医生队伍建设，支持并推动乡村医生申请执业（助理）医师资格，加快实现苏木乡镇全科医生配置目标。做好重大传染病、慢性病、人畜共患病和地方病防控，严格病死畜禽无害化处理。支持城市医院医生到农村牧区执业，鼓励旗县级医院与苏木乡镇卫生院建立医共体。发展“互联网+医疗”，推动利用现代信息技术手段远程医疗、巡回医疗。开展和规范家庭医生签约服务，推进固定和流动相结合的“小药箱”进牧户工程。</w:t>
      </w:r>
    </w:p>
    <w:p w14:paraId="3A46A157">
      <w:pPr>
        <w:spacing w:line="560" w:lineRule="exact"/>
        <w:ind w:firstLine="640" w:firstLineChars="200"/>
        <w:rPr>
          <w:rFonts w:ascii="仿宋_GB2312" w:eastAsia="仿宋_GB2312"/>
          <w:b/>
          <w:sz w:val="32"/>
          <w:szCs w:val="32"/>
        </w:rPr>
      </w:pPr>
      <w:r>
        <w:rPr>
          <w:rFonts w:hint="eastAsia" w:ascii="楷体_GB2312" w:hAnsi="宋体" w:eastAsia="楷体_GB2312" w:cs="楷体_GB2312"/>
          <w:bCs/>
          <w:sz w:val="32"/>
        </w:rPr>
        <w:t>3.完善农村牧区养老服务体系建设。</w:t>
      </w:r>
      <w:r>
        <w:rPr>
          <w:rFonts w:hint="eastAsia" w:ascii="仿宋_GB2312" w:hAnsi="仿宋" w:eastAsia="仿宋_GB2312" w:cs="仿宋_GB2312"/>
          <w:kern w:val="0"/>
          <w:sz w:val="32"/>
          <w:szCs w:val="32"/>
        </w:rPr>
        <w:t>健全县乡村衔接的三级养老服务网络，推进苏木乡镇敬老院升级改造。完善城乡居民基本养老保险制度，稳步提高基础养老金标准。针对农村牧区人口老龄化加剧的现状，探索建立农村牧区留守老年人关爱服务体系。</w:t>
      </w:r>
    </w:p>
    <w:p w14:paraId="6B83A1C1">
      <w:pPr>
        <w:spacing w:line="560" w:lineRule="exact"/>
        <w:ind w:firstLine="640" w:firstLineChars="200"/>
        <w:rPr>
          <w:rFonts w:ascii="楷体_GB2312" w:hAnsi="楷体_GB2312" w:eastAsia="楷体_GB2312" w:cs="楷体_GB2312"/>
          <w:bCs/>
          <w:kern w:val="0"/>
          <w:sz w:val="32"/>
          <w:szCs w:val="32"/>
        </w:rPr>
      </w:pPr>
      <w:r>
        <w:rPr>
          <w:rFonts w:hint="eastAsia" w:ascii="楷体_GB2312" w:hAnsi="宋体" w:eastAsia="楷体_GB2312" w:cs="楷体_GB2312"/>
          <w:bCs/>
          <w:sz w:val="32"/>
        </w:rPr>
        <w:t>4.提升村级综合服务能力。</w:t>
      </w:r>
      <w:r>
        <w:rPr>
          <w:rFonts w:hint="eastAsia" w:ascii="仿宋_GB2312" w:hAnsi="仿宋" w:eastAsia="仿宋_GB2312" w:cs="仿宋_GB2312"/>
          <w:kern w:val="0"/>
          <w:sz w:val="32"/>
          <w:szCs w:val="32"/>
        </w:rPr>
        <w:t>加强村级综合服务设施建设，完善便民服务设施。制定村级公共服务目录和代办政务服务指导目录，提供就业社保、社会救助、卫生健康、法律咨询等公共服务。健全农村牧区留守儿童、妇女、老年人、残疾人以及困境儿童关爱服务体系。加快苏</w:t>
      </w:r>
      <w:r>
        <w:rPr>
          <w:rFonts w:ascii="仿宋_GB2312" w:hAnsi="仿宋" w:eastAsia="仿宋_GB2312" w:cs="仿宋_GB2312"/>
          <w:kern w:val="0"/>
          <w:sz w:val="32"/>
          <w:szCs w:val="32"/>
        </w:rPr>
        <w:t>木</w:t>
      </w:r>
      <w:r>
        <w:rPr>
          <w:rFonts w:hint="eastAsia" w:ascii="仿宋_GB2312" w:hAnsi="仿宋" w:eastAsia="仿宋_GB2312" w:cs="仿宋_GB2312"/>
          <w:kern w:val="0"/>
          <w:sz w:val="32"/>
          <w:szCs w:val="32"/>
        </w:rPr>
        <w:t>乡镇社会工作服务站建设，吸引社会工作人才提供专业服务。加强农村牧区公益性殡葬设施建设。</w:t>
      </w:r>
      <w:bookmarkStart w:id="70" w:name="_Toc4137"/>
    </w:p>
    <w:p w14:paraId="1261EA41">
      <w:pPr>
        <w:spacing w:line="460" w:lineRule="exact"/>
        <w:outlineLvl w:val="1"/>
        <w:rPr>
          <w:rFonts w:ascii="楷体_GB2312" w:hAnsi="楷体_GB2312" w:eastAsia="楷体_GB2312" w:cs="楷体_GB2312"/>
          <w:bCs/>
          <w:kern w:val="0"/>
          <w:sz w:val="32"/>
          <w:szCs w:val="32"/>
        </w:rPr>
      </w:pPr>
    </w:p>
    <w:p w14:paraId="020C9D39">
      <w:pPr>
        <w:spacing w:line="560" w:lineRule="exact"/>
        <w:ind w:firstLine="640" w:firstLineChars="200"/>
        <w:jc w:val="center"/>
        <w:outlineLvl w:val="1"/>
        <w:rPr>
          <w:rFonts w:ascii="楷体_GB2312" w:hAnsi="楷体_GB2312" w:eastAsia="楷体_GB2312" w:cs="楷体_GB2312"/>
          <w:bCs/>
          <w:kern w:val="0"/>
          <w:sz w:val="32"/>
          <w:szCs w:val="32"/>
        </w:rPr>
      </w:pPr>
      <w:bookmarkStart w:id="71" w:name="_Toc94087885"/>
      <w:r>
        <w:rPr>
          <w:rFonts w:ascii="楷体_GB2312" w:hAnsi="楷体_GB2312" w:eastAsia="楷体_GB2312" w:cs="楷体_GB2312"/>
          <w:bCs/>
          <w:kern w:val="0"/>
          <w:sz w:val="32"/>
          <w:szCs w:val="32"/>
        </w:rPr>
        <w:t>第四节 繁荣乡村文化</w:t>
      </w:r>
      <w:bookmarkEnd w:id="70"/>
      <w:bookmarkEnd w:id="71"/>
    </w:p>
    <w:p w14:paraId="3D73FB5D">
      <w:pPr>
        <w:spacing w:line="460" w:lineRule="exact"/>
        <w:ind w:firstLine="420" w:firstLineChars="200"/>
      </w:pPr>
    </w:p>
    <w:p w14:paraId="4CC2B74B">
      <w:pPr>
        <w:spacing w:line="560" w:lineRule="exact"/>
        <w:ind w:firstLine="640" w:firstLineChars="200"/>
        <w:rPr>
          <w:rFonts w:ascii="仿宋_GB2312" w:hAnsi="仿宋_GB2312" w:eastAsia="仿宋_GB2312" w:cs="仿宋_GB2312"/>
          <w:kern w:val="0"/>
          <w:sz w:val="32"/>
          <w:szCs w:val="32"/>
        </w:rPr>
      </w:pPr>
      <w:bookmarkStart w:id="72" w:name="_Toc26527"/>
      <w:bookmarkStart w:id="73" w:name="_Toc14670"/>
      <w:bookmarkStart w:id="74" w:name="_Toc94087886"/>
      <w:bookmarkStart w:id="75" w:name="_Toc10877"/>
      <w:r>
        <w:rPr>
          <w:rFonts w:hint="eastAsia" w:ascii="楷体_GB2312" w:hAnsi="宋体" w:eastAsia="楷体_GB2312" w:cs="楷体_GB2312"/>
          <w:bCs/>
          <w:sz w:val="32"/>
        </w:rPr>
        <w:t>1.铸牢中华民族共同体意识。</w:t>
      </w:r>
      <w:r>
        <w:rPr>
          <w:rFonts w:hint="eastAsia" w:ascii="仿宋_GB2312" w:hAnsi="仿宋" w:eastAsia="仿宋_GB2312" w:cs="仿宋_GB2312"/>
          <w:kern w:val="0"/>
          <w:sz w:val="32"/>
          <w:szCs w:val="32"/>
        </w:rPr>
        <w:t>全面贯彻党的民族政策，深化民族团结进步教育，不断增强各族群众对伟大祖国、中华民族、中华文化、中国共产党、中国特色社会主义的认同，全面深入持久开展民族团结进步创建工作，加强铸牢中华民族共同</w:t>
      </w:r>
      <w:r>
        <w:rPr>
          <w:rFonts w:hint="eastAsia" w:ascii="仿宋_GB2312" w:hAnsi="仿宋" w:eastAsia="仿宋_GB2312" w:cs="仿宋_GB2312"/>
          <w:kern w:val="0"/>
          <w:sz w:val="32"/>
          <w:szCs w:val="32"/>
          <w:lang w:val="en-US" w:eastAsia="zh-CN"/>
        </w:rPr>
        <w:t>体</w:t>
      </w:r>
      <w:r>
        <w:rPr>
          <w:rFonts w:hint="eastAsia" w:ascii="仿宋_GB2312" w:hAnsi="仿宋" w:eastAsia="仿宋_GB2312" w:cs="仿宋_GB2312"/>
          <w:kern w:val="0"/>
          <w:sz w:val="32"/>
          <w:szCs w:val="32"/>
        </w:rPr>
        <w:t>意识研究，建立铸牢中华民族共同体意识教育实践基地，加强对不同时期赤峰地区各民族交流交往交融历史的整理和挖掘，形成一批有价值的文化研究成果和推广项目。严格落实基层党组织意识形态工作责任制，加强正面舆论引导，深化中华民族共同体意识教育，树立和突出各民族共享的中华文化符号和中华民族形象，推动民族文化在农村牧区的传承保护和创新交融。加强农村牧区各类学校思想政治教育，加快推广普及国家通用语言文字。依法治理民族事务，确保民族事务治理在法治轨道上运行。到2025年，所有旗县区全部达到全区民族团结进步创建示范单位水平，努力建成全国民族团结进步示范市。</w:t>
      </w:r>
      <w:bookmarkEnd w:id="72"/>
      <w:bookmarkEnd w:id="73"/>
      <w:bookmarkEnd w:id="74"/>
      <w:bookmarkEnd w:id="75"/>
    </w:p>
    <w:p w14:paraId="346A45F8">
      <w:pPr>
        <w:spacing w:line="560" w:lineRule="exact"/>
        <w:ind w:firstLine="640" w:firstLineChars="200"/>
        <w:rPr>
          <w:rFonts w:ascii="仿宋_GB2312" w:hAnsi="仿宋_GB2312" w:eastAsia="仿宋_GB2312" w:cs="仿宋_GB2312"/>
          <w:kern w:val="0"/>
          <w:sz w:val="32"/>
          <w:szCs w:val="32"/>
        </w:rPr>
      </w:pPr>
      <w:bookmarkStart w:id="76" w:name="_Toc16922"/>
      <w:bookmarkStart w:id="77" w:name="_Toc12291"/>
      <w:bookmarkStart w:id="78" w:name="_Toc14843"/>
      <w:bookmarkStart w:id="79" w:name="_Toc94087887"/>
      <w:r>
        <w:rPr>
          <w:rFonts w:hint="eastAsia" w:ascii="楷体_GB2312" w:hAnsi="宋体" w:eastAsia="楷体_GB2312" w:cs="楷体_GB2312"/>
          <w:bCs/>
          <w:sz w:val="32"/>
        </w:rPr>
        <w:t>2.加强乡风文明建设。</w:t>
      </w:r>
      <w:r>
        <w:rPr>
          <w:rFonts w:hint="eastAsia" w:ascii="仿宋_GB2312" w:hAnsi="仿宋" w:eastAsia="仿宋_GB2312" w:cs="仿宋_GB2312"/>
          <w:kern w:val="0"/>
          <w:sz w:val="32"/>
          <w:szCs w:val="32"/>
        </w:rPr>
        <w:t>引导嘎查村制定简洁明了、便于执行管用的村规民约，建立完善规范的村民议事会、道德评议会、红白理事会、禁毒禁赌会等群众组织。深入开展移风易俗行动，培育文明乡风、淳朴民风，全面推行移风易俗，整治农村牧区婚丧大操大办、高额彩礼、铺张浪费、厚葬薄养、聚众赌博等不良习俗。大力弘扬德孝文化，倡导“百善孝为先”的传统美德，提升农牧民群众德孝意识，强化家庭养老责任。营造乡风文明的实践氛围，利用传统节日、重大节庆和纪念日，组织开展群众性主题实践活动，弘扬古圣先贤、民族英雄、志士仁人的嘉言懿行。推进农村牧区敬老爱老和婚丧嫁娶志愿服务，开展邻里互助和爱心公益活动。</w:t>
      </w:r>
      <w:bookmarkEnd w:id="76"/>
      <w:bookmarkEnd w:id="77"/>
      <w:bookmarkEnd w:id="78"/>
      <w:bookmarkEnd w:id="79"/>
    </w:p>
    <w:p w14:paraId="7DDF6910">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3.丰富农村牧区文化生活。</w:t>
      </w:r>
      <w:r>
        <w:rPr>
          <w:rFonts w:hint="eastAsia" w:ascii="仿宋_GB2312" w:hAnsi="仿宋" w:eastAsia="仿宋_GB2312" w:cs="仿宋_GB2312"/>
          <w:kern w:val="0"/>
          <w:sz w:val="32"/>
          <w:szCs w:val="32"/>
        </w:rPr>
        <w:t>加快镇村综合文化服务中心（站）建设，推动村史馆、民俗馆和传习所建设，鼓励发展文化大院、文化中心户、农牧民书社。加快实施广播电视（网络电视）和智慧广电入户、城乡公共阅报栏（屏）、“鸿雁图书阅读”、农村电影放映和草原书屋覆盖更新城乡工程。深入开展乌兰牧骑进村巡演活动，持续办好文化节、丰收节、那达慕等文化活动。加强农村牧区题材文艺创作的规划和扶持，推出一批具有浓郁乡土特色、充满正能量、深受农牧民欢迎的文艺精品。</w:t>
      </w:r>
    </w:p>
    <w:p w14:paraId="12ED002B">
      <w:pPr>
        <w:spacing w:line="560" w:lineRule="exact"/>
        <w:ind w:firstLine="640" w:firstLineChars="200"/>
        <w:rPr>
          <w:rFonts w:ascii="仿宋_GB2312" w:hAnsi="仿宋" w:eastAsia="仿宋_GB2312" w:cs="仿宋_GB2312"/>
          <w:kern w:val="0"/>
          <w:sz w:val="32"/>
          <w:szCs w:val="32"/>
        </w:rPr>
      </w:pPr>
      <w:r>
        <w:rPr>
          <w:rFonts w:hint="eastAsia" w:ascii="楷体_GB2312" w:hAnsi="宋体" w:eastAsia="楷体_GB2312" w:cs="楷体_GB2312"/>
          <w:bCs/>
          <w:sz w:val="32"/>
        </w:rPr>
        <w:t>4.传承和弘扬优秀传统文化。</w:t>
      </w:r>
      <w:r>
        <w:rPr>
          <w:rFonts w:hint="eastAsia" w:ascii="仿宋_GB2312" w:hAnsi="仿宋" w:eastAsia="仿宋_GB2312" w:cs="仿宋_GB2312"/>
          <w:kern w:val="0"/>
          <w:sz w:val="32"/>
          <w:szCs w:val="32"/>
        </w:rPr>
        <w:t>深入挖掘优秀草原文化、农耕文化、红色革命文化蕴含的思想观念、人文精神、道德规范，结合时代要求进行创新，强化道德教化作用，引导农牧民群众爱党爱国、向上向善。注重蒙古族文化的研究、挖掘、创作，打造一批民族民间文化艺术之乡，推进民族艺术品牌体系建设，打造农村牧区特色文化艺术名片。加强爱国主义教育示范基地建设，做好红色文化遗址、遗迹修缮保护工作，发挥其在培育和践行社会主义核心价值观中的重要作用。利用传统节日组织开展那达慕、祭敖包、花会、灯会、庙会等民俗活动，打造节会品牌。梳理挖掘地域文化、乡土文化，指导各地科学策划、组织开展节事活动，打造乡村文化名片。积极培育新乡贤文化，明确新乡贤文化建设思路，开展新乡贤选树活动，推动建设一批乡贤馆、农耕文化展馆，弘扬传播新乡贤文化。</w:t>
      </w:r>
    </w:p>
    <w:p w14:paraId="4AC0F293">
      <w:pPr>
        <w:spacing w:line="560" w:lineRule="exact"/>
      </w:pPr>
    </w:p>
    <w:p w14:paraId="401131D6">
      <w:pPr>
        <w:spacing w:line="560" w:lineRule="exact"/>
        <w:ind w:firstLine="640" w:firstLineChars="200"/>
        <w:jc w:val="center"/>
        <w:outlineLvl w:val="1"/>
        <w:rPr>
          <w:rFonts w:ascii="楷体_GB2312" w:hAnsi="楷体_GB2312" w:eastAsia="楷体_GB2312" w:cs="楷体_GB2312"/>
          <w:bCs/>
          <w:kern w:val="0"/>
          <w:sz w:val="32"/>
          <w:szCs w:val="32"/>
        </w:rPr>
      </w:pPr>
      <w:bookmarkStart w:id="80" w:name="_Toc94087888"/>
      <w:bookmarkStart w:id="81" w:name="_Toc27904"/>
      <w:r>
        <w:rPr>
          <w:rFonts w:ascii="楷体_GB2312" w:hAnsi="楷体_GB2312" w:eastAsia="楷体_GB2312" w:cs="楷体_GB2312"/>
          <w:bCs/>
          <w:kern w:val="0"/>
          <w:sz w:val="32"/>
          <w:szCs w:val="32"/>
        </w:rPr>
        <w:t>第五节 推进乡村治理现代化</w:t>
      </w:r>
      <w:bookmarkEnd w:id="80"/>
      <w:bookmarkEnd w:id="81"/>
    </w:p>
    <w:p w14:paraId="630FE64C">
      <w:pPr>
        <w:spacing w:line="560" w:lineRule="exact"/>
        <w:ind w:firstLine="643" w:firstLineChars="200"/>
        <w:rPr>
          <w:rFonts w:ascii="Cambria" w:hAnsi="Cambria" w:cs="Cambria"/>
          <w:b/>
          <w:bCs/>
          <w:kern w:val="0"/>
          <w:sz w:val="32"/>
          <w:szCs w:val="32"/>
        </w:rPr>
      </w:pPr>
    </w:p>
    <w:p w14:paraId="44E1751A">
      <w:pPr>
        <w:spacing w:line="560" w:lineRule="exact"/>
        <w:ind w:firstLine="640" w:firstLineChars="200"/>
        <w:rPr>
          <w:rFonts w:ascii="仿宋_GB2312" w:hAnsi="仿宋" w:eastAsia="仿宋_GB2312" w:cs="仿宋_GB2312"/>
          <w:kern w:val="0"/>
          <w:sz w:val="32"/>
          <w:szCs w:val="32"/>
        </w:rPr>
      </w:pPr>
      <w:r>
        <w:rPr>
          <w:rFonts w:hint="eastAsia" w:ascii="楷体_GB2312" w:hAnsi="宋体" w:eastAsia="楷体_GB2312" w:cs="楷体_GB2312"/>
          <w:bCs/>
          <w:sz w:val="32"/>
        </w:rPr>
        <w:t>1.加强党的农村牧区基层组织建设。</w:t>
      </w:r>
      <w:r>
        <w:rPr>
          <w:rFonts w:hint="eastAsia" w:ascii="仿宋_GB2312" w:hAnsi="仿宋" w:eastAsia="仿宋_GB2312" w:cs="仿宋_GB2312"/>
          <w:kern w:val="0"/>
          <w:sz w:val="32"/>
          <w:szCs w:val="32"/>
        </w:rPr>
        <w:t>织密建强党的基层组织体系，夯实党的基层战斗堡垒。实行软弱涣散嘎查村党组织常态化排查整顿机制，落实“四个一”帮联举措，实现软弱涣散“动态清零”。利用集中换届契机，把熟悉乡村振兴、新型城镇化、基层治理等工作的干部选配进苏木乡镇领导班子。新一轮嘎查村“两委”换届要切实选优配强基层党组织带头人和两委成员。推动“乡招村用”基层锻炼服务人员选进“两委”班子，经过培养锻炼、实绩突出、表现优秀的应及时选任嘎查村党组织书记。积极稳妥推行嘎查村党组织书记、嘎查村民委员会主任“一肩挑”，做到“能挑则挑”“应挑尽挑”。推动嘎查村党组织纪委书记或纪检委员应设尽设、村务监督委员会主任由党组织纪委书记或纪检委员应任尽任。健全常态化驻村工作机制。加大发展优秀青年农牧民党员力度。健全稳步增长的经费保障机制，认真落实嘎查村“四项”基层基础保障经费。适时面向符合条件的优秀嘎查村党组织书记定向招录公务员或事业编制人员，充分调动基层干部干事创业的积极性。大力推广党建引领产业发展共同体模式，每个苏木乡镇都要围绕主导产业创建党建引领产业发展共同体示范点。</w:t>
      </w:r>
      <w:r>
        <w:rPr>
          <w:rFonts w:ascii="仿宋_GB2312" w:hAnsi="仿宋" w:eastAsia="仿宋_GB2312" w:cs="仿宋_GB2312"/>
          <w:kern w:val="0"/>
          <w:sz w:val="32"/>
          <w:szCs w:val="32"/>
        </w:rPr>
        <w:t>2021年，党建引领产业化共同体覆盖70%以上嘎查村，示范带动60%以上农牧民</w:t>
      </w:r>
      <w:r>
        <w:rPr>
          <w:rFonts w:hint="eastAsia" w:ascii="仿宋_GB2312" w:hAnsi="仿宋" w:eastAsia="仿宋_GB2312" w:cs="仿宋_GB2312"/>
          <w:kern w:val="0"/>
          <w:sz w:val="32"/>
          <w:szCs w:val="32"/>
        </w:rPr>
        <w:t>。到2025年，覆盖90%以上嘎查村、示范带动80%以上农牧民。</w:t>
      </w:r>
    </w:p>
    <w:p w14:paraId="32595780">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2.加强乡村人才队伍建设。</w:t>
      </w:r>
      <w:r>
        <w:rPr>
          <w:rFonts w:hint="eastAsia" w:ascii="仿宋_GB2312" w:hAnsi="仿宋" w:eastAsia="仿宋_GB2312" w:cs="仿宋_GB2312"/>
          <w:kern w:val="0"/>
          <w:sz w:val="32"/>
          <w:szCs w:val="32"/>
        </w:rPr>
        <w:t>坚持党管人才，按照“一懂两爱”目标要求，加快管理型、技能型和服务型等各类乡村人才培养，完善人才流动、创新创业等机制，引导各类人才投身乡村振兴建设。加强人才激励保障，改革人才管理方式，创新人才评价体系，提升乡村人才公共服务水平。到2025年力争全市乡镇苏木建立机制完善、充满活力、富有成效的乡村人才支撑体系，培养一支规模大、结构优、本领强、基本适应农村牧区经济社会发展需要的乡村人才队伍，各类人才队伍配备达到国家或自治区规定标准。</w:t>
      </w:r>
    </w:p>
    <w:p w14:paraId="05133055">
      <w:pPr>
        <w:spacing w:line="560" w:lineRule="exact"/>
        <w:ind w:firstLine="640" w:firstLineChars="200"/>
        <w:rPr>
          <w:rFonts w:hint="eastAsia"/>
        </w:rPr>
      </w:pPr>
      <w:bookmarkStart w:id="82" w:name="_Toc30185"/>
      <w:bookmarkStart w:id="83" w:name="_Toc30879"/>
      <w:bookmarkStart w:id="84" w:name="_Toc94087889"/>
      <w:bookmarkStart w:id="85" w:name="_Toc10121"/>
      <w:r>
        <w:rPr>
          <w:rFonts w:hint="eastAsia" w:ascii="楷体_GB2312" w:hAnsi="宋体" w:eastAsia="楷体_GB2312" w:cs="楷体_GB2312"/>
          <w:bCs/>
          <w:sz w:val="32"/>
        </w:rPr>
        <w:t>3.提高乡村治理水平。</w:t>
      </w:r>
      <w:r>
        <w:rPr>
          <w:rFonts w:hint="eastAsia" w:ascii="仿宋_GB2312" w:hAnsi="仿宋" w:eastAsia="仿宋_GB2312" w:cs="仿宋_GB2312"/>
          <w:kern w:val="0"/>
          <w:sz w:val="32"/>
          <w:szCs w:val="32"/>
        </w:rPr>
        <w:t>实施基层组织和党员网格化管理，统筹城乡、区域、条块各领域资源，建立健全旗乡村三级基层综合网格化治理体系，实现“多网合一”；进一步扩大党的组织覆盖，将治理体系向下延伸到自然村、嘎查村民小组，发挥党员先锋模范作用；加强网络信息化建设，推动旗乡村党群服务中心三级联网，将基层行政审批服务事项纳入党群服务中心集中办理，争取全程网上代理代办，实现“一站式服务”“一门式办理”。提升乡村自治水平，完善农村牧区民主选举、民主协商、民主管理、民主监督制度。全面建立健全村务监督委员会，健全务实管用的村务监督机制。</w:t>
      </w:r>
      <w:r>
        <w:rPr>
          <w:rFonts w:ascii="仿宋_GB2312" w:hAnsi="仿宋" w:eastAsia="仿宋_GB2312" w:cs="仿宋_GB2312"/>
          <w:kern w:val="0"/>
          <w:sz w:val="32"/>
          <w:szCs w:val="32"/>
        </w:rPr>
        <w:t>加强平安法治乡村建设,</w:t>
      </w:r>
      <w:r>
        <w:rPr>
          <w:rFonts w:hint="eastAsia" w:ascii="仿宋_GB2312" w:hAnsi="仿宋" w:eastAsia="仿宋_GB2312" w:cs="仿宋_GB2312"/>
          <w:kern w:val="0"/>
          <w:sz w:val="32"/>
          <w:szCs w:val="32"/>
        </w:rPr>
        <w:t>持续深入开展扫黑除恶专项斗争，依法严厉打击黑恶势力、家族宗族势力、“村霸”等，防止黑恶势力侵蚀干扰基层政权。依法严厉打击农村黄赌毒和侵害农村妇女儿童人身权利的违法犯罪行为。依法严厉打击农村制售假冒伪劣农资、非法集资、电信诈骗等违法犯罪行为。加强农村法治宣传教育。加强基层社会心理服务和危机干预，构建一站式多元化矛盾纠纷化解机制。加强农村牧区宗教工作力量，依法加大农村牧区非法宗教活动和境外渗透活动的打击力度，依法制止利用宗教干预基层公共事务。大力弘扬社会主义核心价值观，提升乡村德治水平。</w:t>
      </w:r>
      <w:bookmarkEnd w:id="82"/>
      <w:bookmarkEnd w:id="83"/>
      <w:bookmarkEnd w:id="84"/>
      <w:bookmarkEnd w:id="85"/>
      <w:bookmarkStart w:id="86" w:name="_Toc94087890"/>
      <w:bookmarkStart w:id="87" w:name="_Toc19496"/>
    </w:p>
    <w:p w14:paraId="6A13A3BD">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第六节 深化农村牧区改革</w:t>
      </w:r>
      <w:bookmarkEnd w:id="86"/>
      <w:bookmarkEnd w:id="87"/>
    </w:p>
    <w:p w14:paraId="6A0150A8">
      <w:pPr>
        <w:spacing w:line="560" w:lineRule="exact"/>
        <w:ind w:firstLine="640" w:firstLineChars="200"/>
        <w:rPr>
          <w:rFonts w:ascii="仿宋_GB2312" w:hAnsi="仿宋_GB2312" w:eastAsia="仿宋_GB2312" w:cs="仿宋_GB2312"/>
          <w:kern w:val="0"/>
          <w:sz w:val="32"/>
          <w:szCs w:val="32"/>
        </w:rPr>
      </w:pPr>
    </w:p>
    <w:p w14:paraId="012D314A">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1.深化农村牧区土地制度改革。</w:t>
      </w:r>
      <w:r>
        <w:rPr>
          <w:rFonts w:hint="eastAsia" w:ascii="仿宋_GB2312" w:hAnsi="仿宋" w:eastAsia="仿宋_GB2312" w:cs="仿宋_GB2312"/>
          <w:kern w:val="0"/>
          <w:sz w:val="32"/>
          <w:szCs w:val="32"/>
        </w:rPr>
        <w:t>保持农村牧区土地承包关系稳定并长久不变。落实承包土地“三权分置”制度，健全土地流转规范管理制度，在依法保护集体所有权和农牧户承包权前提下，推进土地草牧场经营权依法有序规范流转，发展多种形式农牧业适度规模经营。强化规模经营管理服务，允许土地经营权入股从事农牧业产业化经营，探索承包土地经营权担保融资。稳慎推进农村牧区宅基地制度改革，探索宅基地所有权、资格权、使用权“三权分置”，保障宅基地农户资格权和农民房屋财产权，适度放活宅基地和农民房屋使用权。鼓励嘎查村集体经济组织及其成员盘活利用闲置宅基地和闲置房屋。积极稳妥开展乡村闲置校舍、厂房、废弃地等整治，盘活建设用地重点用于支持乡村新产业新业态和返乡下乡创业。</w:t>
      </w:r>
    </w:p>
    <w:p w14:paraId="620D6347">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2.深化农村牧区集体产权制度改革。</w:t>
      </w:r>
      <w:r>
        <w:rPr>
          <w:rFonts w:hint="eastAsia" w:ascii="仿宋_GB2312" w:hAnsi="仿宋" w:eastAsia="仿宋_GB2312" w:cs="仿宋_GB2312"/>
          <w:kern w:val="0"/>
          <w:sz w:val="32"/>
          <w:szCs w:val="32"/>
        </w:rPr>
        <w:t>加快农村牧区集体资产监督管理平台建设，建立健全集体资产各项管理制度。推广“资源变资产、资金变股金、农牧民变股东”经验，推进农村牧区集体经营性资产股份合作制改革，大力发展农村集体经济，鼓励农村牧区集体经济组织受托集中流转农户承包地和林地，开展专业合作和股份合作。鼓励农村集体经济组织参与农业产业化经营，发展纵横一体化产业组织，延长产业链条，推进农村产业融合发展。健全完善农村牧区产权流转交易平台。完善农村牧区集体产权权能，积极探索集体资产股权质押贷款办法。</w:t>
      </w:r>
    </w:p>
    <w:p w14:paraId="1340496B">
      <w:pPr>
        <w:spacing w:line="560" w:lineRule="exact"/>
        <w:ind w:firstLine="640" w:firstLineChars="200"/>
        <w:rPr>
          <w:rFonts w:ascii="仿宋_GB2312" w:hAnsi="仿宋_GB2312" w:eastAsia="仿宋_GB2312" w:cs="仿宋_GB2312"/>
          <w:kern w:val="0"/>
          <w:sz w:val="32"/>
          <w:szCs w:val="32"/>
        </w:rPr>
      </w:pPr>
      <w:bookmarkStart w:id="88" w:name="_Toc94087891"/>
      <w:bookmarkStart w:id="89" w:name="_Toc270"/>
      <w:bookmarkStart w:id="90" w:name="_Toc21742"/>
      <w:bookmarkStart w:id="91" w:name="_Toc1715"/>
      <w:r>
        <w:rPr>
          <w:rFonts w:hint="eastAsia" w:ascii="楷体_GB2312" w:hAnsi="宋体" w:eastAsia="楷体_GB2312" w:cs="楷体_GB2312"/>
          <w:bCs/>
          <w:sz w:val="32"/>
        </w:rPr>
        <w:t>3.深化农垦改革。</w:t>
      </w:r>
      <w:r>
        <w:rPr>
          <w:rFonts w:hint="eastAsia" w:ascii="仿宋_GB2312" w:hAnsi="仿宋" w:eastAsia="仿宋_GB2312" w:cs="仿宋_GB2312"/>
          <w:kern w:val="0"/>
          <w:sz w:val="32"/>
          <w:szCs w:val="32"/>
        </w:rPr>
        <w:t>深化垦区国有农牧场改革，加快解决农垦办社会职能改革遗留问题，培育壮大一批现代农业企业。结合国有农牧场农牧产业资源，加强农畜产品品牌建设。加强农垦国有农用地保护和利用管理，创新农垦农业经营体系。巩固提升困难农场、生态脆弱区农场基础设施建设水平。</w:t>
      </w:r>
      <w:bookmarkEnd w:id="88"/>
      <w:bookmarkEnd w:id="89"/>
      <w:bookmarkEnd w:id="90"/>
      <w:bookmarkEnd w:id="91"/>
    </w:p>
    <w:p w14:paraId="5D66EBAF">
      <w:pPr>
        <w:spacing w:line="460" w:lineRule="exact"/>
        <w:ind w:firstLine="560" w:firstLineChars="200"/>
        <w:rPr>
          <w:rFonts w:ascii="黑体" w:hAnsi="黑体" w:eastAsia="黑体" w:cs="仿宋_GB2312"/>
          <w:kern w:val="0"/>
          <w:sz w:val="28"/>
          <w:szCs w:val="32"/>
        </w:rPr>
      </w:pPr>
    </w:p>
    <w:p w14:paraId="2441E0C7">
      <w:pPr>
        <w:spacing w:line="560" w:lineRule="exact"/>
        <w:jc w:val="center"/>
        <w:outlineLvl w:val="0"/>
        <w:rPr>
          <w:rFonts w:ascii="黑体" w:hAnsi="黑体" w:eastAsia="黑体" w:cs="宋体"/>
          <w:kern w:val="0"/>
          <w:sz w:val="32"/>
          <w:szCs w:val="36"/>
        </w:rPr>
      </w:pPr>
      <w:bookmarkStart w:id="92" w:name="_Toc23497"/>
      <w:bookmarkStart w:id="93" w:name="_Toc94087892"/>
      <w:r>
        <w:rPr>
          <w:rFonts w:ascii="黑体" w:hAnsi="黑体" w:eastAsia="黑体" w:cs="宋体"/>
          <w:kern w:val="0"/>
          <w:sz w:val="32"/>
          <w:szCs w:val="36"/>
        </w:rPr>
        <w:t>第四章 实现农牧民富裕富足</w:t>
      </w:r>
      <w:bookmarkEnd w:id="92"/>
      <w:bookmarkEnd w:id="93"/>
    </w:p>
    <w:p w14:paraId="25896F9B">
      <w:pPr>
        <w:spacing w:line="460" w:lineRule="exact"/>
        <w:ind w:firstLine="640" w:firstLineChars="200"/>
        <w:jc w:val="center"/>
        <w:rPr>
          <w:rFonts w:ascii="黑体" w:hAnsi="黑体" w:eastAsia="黑体" w:cs="宋体"/>
          <w:kern w:val="0"/>
          <w:sz w:val="32"/>
          <w:szCs w:val="32"/>
        </w:rPr>
      </w:pPr>
    </w:p>
    <w:p w14:paraId="0AB414F7">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以改革创新的精神，培育和壮大家庭农场、合作社等新型规模经营主体，着力培养造就一支懂农业、爱农村、爱农民的“三农”工作队伍，切实保障农牧民就业创业渠道畅通，高标准推进农村精准扶贫，让农牧民真正融入农牧业农村牧区现代化进程。</w:t>
      </w:r>
      <w:bookmarkStart w:id="94" w:name="_Toc94087893"/>
      <w:bookmarkStart w:id="95" w:name="_Toc1924"/>
    </w:p>
    <w:p w14:paraId="207F2B97">
      <w:pPr>
        <w:spacing w:line="560" w:lineRule="exact"/>
        <w:ind w:firstLine="641"/>
        <w:rPr>
          <w:rFonts w:ascii="仿宋_GB2312" w:hAnsi="仿宋" w:eastAsia="仿宋_GB2312" w:cs="仿宋_GB2312"/>
          <w:kern w:val="0"/>
          <w:sz w:val="32"/>
          <w:szCs w:val="32"/>
        </w:rPr>
      </w:pPr>
    </w:p>
    <w:p w14:paraId="5929D0FC">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第一节 促进农牧民增收</w:t>
      </w:r>
      <w:bookmarkEnd w:id="94"/>
      <w:bookmarkEnd w:id="95"/>
    </w:p>
    <w:p w14:paraId="3FC3DCE0">
      <w:pPr>
        <w:spacing w:line="560" w:lineRule="exact"/>
        <w:ind w:firstLine="640" w:firstLineChars="200"/>
        <w:jc w:val="center"/>
        <w:rPr>
          <w:rFonts w:ascii="楷体_GB2312" w:hAnsi="宋体" w:eastAsia="楷体_GB2312" w:cs="楷体_GB2312"/>
          <w:bCs/>
          <w:sz w:val="32"/>
        </w:rPr>
      </w:pPr>
    </w:p>
    <w:p w14:paraId="3774B58D">
      <w:pPr>
        <w:spacing w:line="560" w:lineRule="exact"/>
        <w:ind w:firstLine="640" w:firstLineChars="200"/>
        <w:rPr>
          <w:rFonts w:ascii="仿宋_GB2312" w:hAnsi="仿宋_GB2312" w:eastAsia="仿宋_GB2312" w:cs="仿宋_GB2312"/>
          <w:kern w:val="0"/>
          <w:sz w:val="32"/>
          <w:szCs w:val="32"/>
        </w:rPr>
      </w:pPr>
      <w:bookmarkStart w:id="96" w:name="_Toc9401"/>
      <w:bookmarkStart w:id="97" w:name="_Toc94087894"/>
      <w:bookmarkStart w:id="98" w:name="_Toc6143"/>
      <w:bookmarkStart w:id="99" w:name="_Toc11205"/>
      <w:r>
        <w:rPr>
          <w:rFonts w:hint="eastAsia" w:ascii="楷体_GB2312" w:hAnsi="宋体" w:eastAsia="楷体_GB2312" w:cs="楷体_GB2312"/>
          <w:bCs/>
          <w:sz w:val="32"/>
        </w:rPr>
        <w:t>1.挖掘现代农牧业增收潜力。</w:t>
      </w:r>
      <w:r>
        <w:rPr>
          <w:rFonts w:hint="eastAsia" w:ascii="仿宋_GB2312" w:hAnsi="仿宋" w:eastAsia="仿宋_GB2312" w:cs="仿宋_GB2312"/>
          <w:kern w:val="0"/>
          <w:sz w:val="32"/>
          <w:szCs w:val="32"/>
        </w:rPr>
        <w:t>推动一二三产业融合发展，实现一产强、二产优、三产活，让农牧民分享农牧产业链条各环节的利益。加快发展订单直销、连锁配送、电子商务等现代流通方式，促进农牧产业经营组织方式变革。积极开发农牧业多种功能，挖掘农牧业的生态价值、休闲价值、文化价值，拓展农牧业的内涵、外延和发展领域。</w:t>
      </w:r>
      <w:bookmarkEnd w:id="96"/>
      <w:bookmarkEnd w:id="97"/>
      <w:bookmarkEnd w:id="98"/>
      <w:bookmarkEnd w:id="99"/>
    </w:p>
    <w:p w14:paraId="64A851E9">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2.推动农村牧区创业创新。</w:t>
      </w:r>
      <w:r>
        <w:rPr>
          <w:rFonts w:hint="eastAsia" w:ascii="仿宋_GB2312" w:hAnsi="仿宋" w:eastAsia="仿宋_GB2312" w:cs="仿宋_GB2312"/>
          <w:kern w:val="0"/>
          <w:sz w:val="32"/>
          <w:szCs w:val="32"/>
        </w:rPr>
        <w:t>支持返乡农民工、普通中高等学校毕业生、退役士兵、大学生村官、农村能人等创办领办家庭农场、农民合作社和小微企业，发展设施农业、规模种养业、农产品加工业、民俗民族工艺产业、休闲农牧业与乡村旅游等。简化农牧业领域创业的行政审批相关手续，激发农牧民创业激情，鼓励金融机构创新农村地区大学生、农村青年、返乡农民工创业的金融产品和服务。</w:t>
      </w:r>
    </w:p>
    <w:p w14:paraId="054D0366">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3.完善紧密型利益联结机制。</w:t>
      </w:r>
      <w:r>
        <w:rPr>
          <w:rFonts w:hint="eastAsia" w:ascii="仿宋_GB2312" w:hAnsi="仿宋" w:eastAsia="仿宋_GB2312" w:cs="仿宋_GB2312"/>
          <w:kern w:val="0"/>
          <w:sz w:val="32"/>
          <w:szCs w:val="32"/>
        </w:rPr>
        <w:t>加快推广订单合同型、股份合作型、流转聘用型、贷款担保型、服务协作型等多种利益联结形式，深化龙头企业与农牧民利益联结机制。采取“龙头企业+合作社+农牧户”“社会化服务组织+农牧户”“合作社+农牧户”等组织形式，形成适合不同产业特点的联结模式。建设一批集产加销、生态观光、休闲养生于一体的现代农牧业产业化联合体，提高农牧业全产业链收益。</w:t>
      </w:r>
    </w:p>
    <w:p w14:paraId="2C17E8BE">
      <w:pPr>
        <w:spacing w:line="560" w:lineRule="exact"/>
        <w:ind w:firstLine="640" w:firstLineChars="200"/>
        <w:rPr>
          <w:rFonts w:hint="eastAsia" w:ascii="仿宋_GB2312" w:hAnsi="仿宋_GB2312" w:eastAsia="仿宋_GB2312" w:cs="仿宋_GB2312"/>
          <w:kern w:val="0"/>
          <w:sz w:val="32"/>
          <w:szCs w:val="32"/>
        </w:rPr>
      </w:pPr>
      <w:r>
        <w:rPr>
          <w:rFonts w:hint="eastAsia" w:ascii="楷体_GB2312" w:hAnsi="宋体" w:eastAsia="楷体_GB2312" w:cs="楷体_GB2312"/>
          <w:bCs/>
          <w:sz w:val="32"/>
        </w:rPr>
        <w:t>4.促进农牧民财产性增收。</w:t>
      </w:r>
      <w:r>
        <w:rPr>
          <w:rFonts w:hint="eastAsia" w:ascii="仿宋_GB2312" w:hAnsi="仿宋" w:eastAsia="仿宋_GB2312" w:cs="仿宋_GB2312"/>
          <w:kern w:val="0"/>
          <w:sz w:val="32"/>
          <w:szCs w:val="32"/>
        </w:rPr>
        <w:t>统筹推进农村土地征收、集体经营性建设用地入市改革试点，细化和落实农村牧区土地草原所有权、承包权、经营权“三权分置”办法。稳妥推进农牧民承办土地（草牧场）经营权和牲畜活体抵押贷款试点。规范土地征收程序，完善对被征收农牧民合理、规范、多元保障机制。健全资源开发、征地拆迁补偿机制，积极探索赋予农牧民房屋完整产权，广辟农牧民增收致富门路。加强扶贫项目资产管理，落实主体责任，持续产生收益。拓宽农牧民投资渠道，增强农牧民投资意识，鼓励农牧民利用富余资金、实物资产、经营权等参股公司企业、农牧民合作社、家庭农牧场和农牧业社会化服务组织获得股权收入。</w:t>
      </w:r>
    </w:p>
    <w:p w14:paraId="00EDD5B8">
      <w:pPr>
        <w:spacing w:line="560" w:lineRule="exact"/>
        <w:ind w:firstLine="640" w:firstLineChars="200"/>
        <w:jc w:val="center"/>
        <w:outlineLvl w:val="1"/>
        <w:rPr>
          <w:rFonts w:ascii="楷体_GB2312" w:hAnsi="楷体_GB2312" w:eastAsia="楷体_GB2312" w:cs="楷体_GB2312"/>
          <w:bCs/>
          <w:kern w:val="0"/>
          <w:sz w:val="32"/>
          <w:szCs w:val="32"/>
        </w:rPr>
      </w:pPr>
      <w:bookmarkStart w:id="100" w:name="_Toc94087895"/>
      <w:bookmarkStart w:id="101" w:name="_Toc5426"/>
      <w:r>
        <w:rPr>
          <w:rFonts w:ascii="楷体_GB2312" w:hAnsi="楷体_GB2312" w:eastAsia="楷体_GB2312" w:cs="楷体_GB2312"/>
          <w:bCs/>
          <w:kern w:val="0"/>
          <w:sz w:val="32"/>
          <w:szCs w:val="32"/>
        </w:rPr>
        <w:t>第二节 不断提升农牧民综合素质</w:t>
      </w:r>
      <w:bookmarkEnd w:id="100"/>
      <w:bookmarkEnd w:id="101"/>
    </w:p>
    <w:p w14:paraId="493B8F33">
      <w:pPr>
        <w:spacing w:line="560" w:lineRule="exact"/>
        <w:rPr>
          <w:rFonts w:ascii="Cambria" w:hAnsi="Cambria" w:cs="Cambria"/>
          <w:b/>
          <w:bCs/>
          <w:kern w:val="0"/>
          <w:sz w:val="32"/>
          <w:szCs w:val="32"/>
        </w:rPr>
      </w:pPr>
    </w:p>
    <w:p w14:paraId="4E428A2D">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1.健全农牧民教育培训体系。</w:t>
      </w:r>
      <w:r>
        <w:rPr>
          <w:rFonts w:ascii="仿宋_GB2312" w:hAnsi="仿宋" w:eastAsia="仿宋_GB2312" w:cs="仿宋_GB2312"/>
          <w:kern w:val="0"/>
          <w:sz w:val="32"/>
          <w:szCs w:val="32"/>
        </w:rPr>
        <w:t>建立短期培训、职业培训和学历教育衔接贯通的农牧民教育培训制度。充分发挥农牧业技术推广机构、农牧业科研院所、涉农院校、农牧业龙头企业等作用，引导优质教育资源下沉农村牧区，推进教育培训资源共建共享、优势互补。</w:t>
      </w:r>
    </w:p>
    <w:p w14:paraId="5CEC5ACF">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2.加快培育高素质农牧民。</w:t>
      </w:r>
      <w:r>
        <w:rPr>
          <w:rFonts w:ascii="仿宋_GB2312" w:hAnsi="仿宋" w:eastAsia="仿宋_GB2312" w:cs="仿宋_GB2312"/>
          <w:kern w:val="0"/>
          <w:sz w:val="32"/>
          <w:szCs w:val="32"/>
        </w:rPr>
        <w:t>依托国家高素质农民培育工程，重点实施农牧业经营主体带头人轮训计划、现代青年农牧场主培养计划、农村牧区实用人才带头人培训计划和农牧业产业精准扶贫带头人培训计划，支持中高等院校以基层组织带头人、乡村产业带头人及青年农牧民为重点，开展提升农牧民能力素质职业教育，培育一批爱农（牧）业、懂技术、会管理、善经营、高技能的创新创业“新农人”“新牧人”,组织参加论坛、展销会、专业技能大赛等活动，搭建交流平台，展示新时代高素质农牧民和创新创业农牧民风采。继续实施农牧民工职业技能提升行动，将法定劳动年龄内有职业技能培训意愿的农村牧区转移劳动者全部纳入职业技能培训计划，促进其实现稳定就业。“十四五”期间每年培育新型职业农牧民3000人</w:t>
      </w:r>
      <w:r>
        <w:rPr>
          <w:rFonts w:hint="eastAsia" w:ascii="仿宋_GB2312" w:hAnsi="仿宋" w:eastAsia="仿宋_GB2312" w:cs="仿宋_GB2312"/>
          <w:kern w:val="0"/>
          <w:sz w:val="32"/>
          <w:szCs w:val="32"/>
        </w:rPr>
        <w:t>左右</w:t>
      </w:r>
      <w:r>
        <w:rPr>
          <w:rFonts w:ascii="仿宋_GB2312" w:hAnsi="仿宋" w:eastAsia="仿宋_GB2312" w:cs="仿宋_GB2312"/>
          <w:kern w:val="0"/>
          <w:sz w:val="32"/>
          <w:szCs w:val="32"/>
        </w:rPr>
        <w:t>。</w:t>
      </w:r>
      <w:bookmarkStart w:id="102" w:name="_Toc5278"/>
    </w:p>
    <w:p w14:paraId="57AD52F7">
      <w:pPr>
        <w:spacing w:line="560" w:lineRule="exact"/>
        <w:ind w:firstLine="640" w:firstLineChars="200"/>
        <w:outlineLvl w:val="1"/>
        <w:rPr>
          <w:rFonts w:ascii="楷体_GB2312" w:hAnsi="楷体_GB2312" w:eastAsia="楷体_GB2312" w:cs="楷体_GB2312"/>
          <w:bCs/>
          <w:kern w:val="0"/>
          <w:sz w:val="32"/>
          <w:szCs w:val="32"/>
        </w:rPr>
      </w:pPr>
    </w:p>
    <w:p w14:paraId="71828171">
      <w:pPr>
        <w:spacing w:line="560" w:lineRule="exact"/>
        <w:ind w:firstLine="640" w:firstLineChars="200"/>
        <w:jc w:val="center"/>
        <w:outlineLvl w:val="1"/>
        <w:rPr>
          <w:rFonts w:ascii="楷体_GB2312" w:hAnsi="楷体_GB2312" w:eastAsia="楷体_GB2312" w:cs="楷体_GB2312"/>
          <w:bCs/>
          <w:kern w:val="0"/>
          <w:sz w:val="32"/>
          <w:szCs w:val="32"/>
        </w:rPr>
      </w:pPr>
      <w:bookmarkStart w:id="103" w:name="_Toc94087896"/>
      <w:r>
        <w:rPr>
          <w:rFonts w:ascii="楷体_GB2312" w:hAnsi="楷体_GB2312" w:eastAsia="楷体_GB2312" w:cs="楷体_GB2312"/>
          <w:bCs/>
          <w:kern w:val="0"/>
          <w:sz w:val="32"/>
          <w:szCs w:val="32"/>
        </w:rPr>
        <w:t>第三节 巩固拓展脱贫攻坚成果同乡村振兴有效衔接</w:t>
      </w:r>
      <w:bookmarkEnd w:id="102"/>
      <w:bookmarkEnd w:id="103"/>
    </w:p>
    <w:p w14:paraId="50CE7F88">
      <w:pPr>
        <w:spacing w:line="560" w:lineRule="exact"/>
        <w:ind w:firstLine="643" w:firstLineChars="200"/>
        <w:rPr>
          <w:rFonts w:ascii="Cambria" w:hAnsi="Cambria" w:cs="Cambria"/>
          <w:b/>
          <w:bCs/>
          <w:kern w:val="0"/>
          <w:sz w:val="32"/>
          <w:szCs w:val="32"/>
        </w:rPr>
      </w:pPr>
    </w:p>
    <w:p w14:paraId="5C491B69">
      <w:pPr>
        <w:spacing w:line="560" w:lineRule="exact"/>
        <w:ind w:firstLine="640" w:firstLineChars="200"/>
        <w:rPr>
          <w:rFonts w:ascii="仿宋_GB2312" w:hAnsi="仿宋_GB2312" w:eastAsia="仿宋_GB2312" w:cs="仿宋_GB2312"/>
          <w:kern w:val="0"/>
          <w:sz w:val="32"/>
          <w:szCs w:val="32"/>
        </w:rPr>
      </w:pPr>
      <w:bookmarkStart w:id="104" w:name="_Toc3392"/>
      <w:bookmarkStart w:id="105" w:name="_Toc26752"/>
      <w:bookmarkStart w:id="106" w:name="_Toc94087897"/>
      <w:bookmarkStart w:id="107" w:name="_Toc24572"/>
      <w:r>
        <w:rPr>
          <w:rFonts w:hint="eastAsia" w:ascii="楷体_GB2312" w:hAnsi="宋体" w:eastAsia="楷体_GB2312" w:cs="楷体_GB2312"/>
          <w:bCs/>
          <w:sz w:val="32"/>
        </w:rPr>
        <w:t>1.巩固脱贫攻坚成果。</w:t>
      </w:r>
      <w:r>
        <w:rPr>
          <w:rFonts w:hint="eastAsia" w:ascii="仿宋_GB2312" w:hAnsi="仿宋" w:eastAsia="仿宋_GB2312" w:cs="仿宋_GB2312"/>
          <w:kern w:val="0"/>
          <w:sz w:val="32"/>
          <w:szCs w:val="32"/>
        </w:rPr>
        <w:t>健全防止返贫动态监测和帮扶机制，对四类重点人群实施常态化监测，及时发现、快速响应、动态清零。有效防止因大病、因学、因意外事故、因自然灾害等造成的致贫返贫问题。做好易地搬迁后续扶持工作，确保搬迁群众稳得住、有就业、逐步能致富。坚持开发式帮扶，帮助有劳动能力的农村牧区低收入人口提高自我发展能力。对丧失劳动能力且无法通过产业就业获得稳定收入的脱贫人口，按规定及时给予专项救助、临时救助。加大对农村牧区贫困残疾人就业创业的扶持力度，有效拓展贫困残疾人就业渠道。</w:t>
      </w:r>
      <w:bookmarkEnd w:id="104"/>
      <w:bookmarkEnd w:id="105"/>
      <w:bookmarkEnd w:id="106"/>
      <w:bookmarkEnd w:id="107"/>
    </w:p>
    <w:p w14:paraId="54AC3AA6">
      <w:pPr>
        <w:spacing w:line="560" w:lineRule="exact"/>
        <w:ind w:firstLine="640" w:firstLineChars="200"/>
        <w:rPr>
          <w:rFonts w:ascii="仿宋_GB2312" w:hAnsi="仿宋_GB2312" w:eastAsia="仿宋_GB2312" w:cs="仿宋_GB2312"/>
          <w:kern w:val="0"/>
          <w:sz w:val="32"/>
          <w:szCs w:val="32"/>
        </w:rPr>
      </w:pPr>
      <w:bookmarkStart w:id="108" w:name="_Toc2484"/>
      <w:bookmarkStart w:id="109" w:name="_Toc4317"/>
      <w:bookmarkStart w:id="110" w:name="_Toc94087898"/>
      <w:bookmarkStart w:id="111" w:name="_Toc19516"/>
      <w:r>
        <w:rPr>
          <w:rFonts w:hint="eastAsia" w:ascii="楷体_GB2312" w:hAnsi="宋体" w:eastAsia="楷体_GB2312" w:cs="楷体_GB2312"/>
          <w:bCs/>
          <w:sz w:val="32"/>
        </w:rPr>
        <w:t>2.推进脱贫攻坚与乡村振兴衔接。</w:t>
      </w:r>
      <w:r>
        <w:rPr>
          <w:rFonts w:hint="eastAsia" w:ascii="仿宋_GB2312" w:hAnsi="仿宋" w:eastAsia="仿宋_GB2312" w:cs="仿宋_GB2312"/>
          <w:kern w:val="0"/>
          <w:sz w:val="32"/>
          <w:szCs w:val="32"/>
        </w:rPr>
        <w:t>贯彻执行市委、市政府《</w:t>
      </w:r>
      <w:r>
        <w:rPr>
          <w:rFonts w:ascii="仿宋_GB2312" w:hAnsi="仿宋" w:eastAsia="仿宋_GB2312" w:cs="仿宋_GB2312"/>
          <w:kern w:val="0"/>
          <w:sz w:val="32"/>
          <w:szCs w:val="32"/>
        </w:rPr>
        <w:t>2021年度</w:t>
      </w:r>
      <w:r>
        <w:rPr>
          <w:rFonts w:hint="eastAsia" w:ascii="仿宋_GB2312" w:hAnsi="仿宋" w:eastAsia="仿宋_GB2312" w:cs="仿宋_GB2312"/>
          <w:kern w:val="0"/>
          <w:sz w:val="32"/>
          <w:szCs w:val="32"/>
          <w:lang w:eastAsia="zh-CN"/>
        </w:rPr>
        <w:t>巩固拓展脱贫攻坚成果同乡村振兴有效衔接</w:t>
      </w:r>
      <w:r>
        <w:rPr>
          <w:rFonts w:ascii="仿宋_GB2312" w:hAnsi="仿宋" w:eastAsia="仿宋_GB2312" w:cs="仿宋_GB2312"/>
          <w:kern w:val="0"/>
          <w:sz w:val="32"/>
          <w:szCs w:val="32"/>
        </w:rPr>
        <w:t>实施方案》</w:t>
      </w:r>
      <w:r>
        <w:rPr>
          <w:rFonts w:hint="eastAsia" w:ascii="仿宋_GB2312" w:hAnsi="仿宋" w:eastAsia="仿宋_GB2312" w:cs="仿宋_GB2312"/>
          <w:kern w:val="0"/>
          <w:sz w:val="32"/>
          <w:szCs w:val="32"/>
        </w:rPr>
        <w:t>（赤党发〔2021〕10号），在主导产业发展，重大项目布局、补齐公共服务短板等方面给予脱贫地区支持，优化财政投入、金融服务、土地支持、人才智力支持等政策，提升脱贫地区发展基础，巩固拓展脱贫攻坚成果。全面落实国家、自治区脱贫旗县过渡期政策，过渡期内保持现有主要帮扶政策总体稳定，逐项分类优化调整，逐步由集中资源脱贫攻坚向巩固拓展脱贫攻坚成果和全面推进乡村振兴平稳过渡。合理预算安排本级衔接资金，优化支出结构，调整支持重点。</w:t>
      </w:r>
      <w:bookmarkEnd w:id="108"/>
      <w:bookmarkEnd w:id="109"/>
      <w:bookmarkEnd w:id="110"/>
      <w:bookmarkEnd w:id="111"/>
    </w:p>
    <w:p w14:paraId="1F8EB206">
      <w:pPr>
        <w:spacing w:line="560" w:lineRule="exact"/>
      </w:pPr>
    </w:p>
    <w:p w14:paraId="35CF4070">
      <w:pPr>
        <w:spacing w:line="560" w:lineRule="exact"/>
        <w:jc w:val="center"/>
        <w:outlineLvl w:val="0"/>
        <w:rPr>
          <w:rFonts w:ascii="方正小标宋简体" w:hAnsi="黑体" w:eastAsia="方正小标宋简体" w:cs="宋体"/>
          <w:kern w:val="0"/>
          <w:sz w:val="32"/>
          <w:szCs w:val="36"/>
        </w:rPr>
      </w:pPr>
      <w:bookmarkStart w:id="112" w:name="_Toc7273"/>
      <w:bookmarkStart w:id="113" w:name="_Toc94087899"/>
      <w:r>
        <w:rPr>
          <w:rFonts w:hint="eastAsia" w:ascii="黑体" w:hAnsi="黑体" w:eastAsia="黑体" w:cs="黑体"/>
          <w:kern w:val="0"/>
          <w:sz w:val="32"/>
          <w:szCs w:val="36"/>
        </w:rPr>
        <w:t>第五章 加强组织协调保障规划顺利实施</w:t>
      </w:r>
      <w:bookmarkEnd w:id="112"/>
      <w:bookmarkEnd w:id="113"/>
    </w:p>
    <w:p w14:paraId="4D7AAF5F">
      <w:pPr>
        <w:spacing w:line="560" w:lineRule="exact"/>
        <w:rPr>
          <w:rFonts w:ascii="Cambria" w:hAnsi="Cambria" w:cs="Cambria"/>
          <w:b/>
          <w:bCs/>
          <w:kern w:val="0"/>
          <w:sz w:val="32"/>
          <w:szCs w:val="32"/>
        </w:rPr>
      </w:pPr>
    </w:p>
    <w:p w14:paraId="7A290A57">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1.加强组织领导。</w:t>
      </w:r>
      <w:r>
        <w:rPr>
          <w:rFonts w:hint="eastAsia" w:ascii="仿宋_GB2312" w:hAnsi="仿宋" w:eastAsia="仿宋_GB2312" w:cs="仿宋_GB2312"/>
          <w:kern w:val="0"/>
          <w:sz w:val="32"/>
          <w:szCs w:val="32"/>
        </w:rPr>
        <w:t>加强党对“三农三牧”工作的全面领导，细化工作措施，狠抓落实，始终把规划的实施纳入各级党委和政府重要议事日程。对有关重大工程项目要抓紧启动，加快实施。对有关改革任务和试点工作要积极推进，加强指导，及时总结可复制、可推广的经验。市直有关部门要立足职能职责，根据任务分工，强化政策配套，加强督促指导，形成工作合力，协同推进规划实施。选好配强嘎查村干部队伍，提高农村牧区工作统筹推进实效，确保规划所确定的农牧业和农村牧区经济发展各项目标任务顺利完成。</w:t>
      </w:r>
    </w:p>
    <w:p w14:paraId="5F0E4026">
      <w:pPr>
        <w:spacing w:line="560" w:lineRule="exact"/>
        <w:ind w:firstLine="640" w:firstLineChars="200"/>
        <w:rPr>
          <w:rFonts w:ascii="仿宋_GB2312" w:hAnsi="仿宋_GB2312" w:eastAsia="仿宋_GB2312" w:cs="仿宋_GB2312"/>
          <w:kern w:val="0"/>
          <w:sz w:val="32"/>
          <w:szCs w:val="32"/>
        </w:rPr>
      </w:pPr>
      <w:bookmarkStart w:id="114" w:name="_Toc32449"/>
      <w:bookmarkStart w:id="115" w:name="_Toc26267"/>
      <w:bookmarkStart w:id="116" w:name="_Toc22989"/>
      <w:bookmarkStart w:id="117" w:name="_Toc94087900"/>
      <w:r>
        <w:rPr>
          <w:rFonts w:hint="eastAsia" w:ascii="楷体_GB2312" w:hAnsi="宋体" w:eastAsia="楷体_GB2312" w:cs="楷体_GB2312"/>
          <w:bCs/>
          <w:sz w:val="32"/>
        </w:rPr>
        <w:t>2.加大政策扶持力度。</w:t>
      </w:r>
      <w:r>
        <w:rPr>
          <w:rFonts w:hint="eastAsia" w:ascii="仿宋_GB2312" w:hAnsi="仿宋" w:eastAsia="仿宋_GB2312" w:cs="仿宋_GB2312"/>
          <w:kern w:val="0"/>
          <w:sz w:val="32"/>
          <w:szCs w:val="32"/>
        </w:rPr>
        <w:t>完善财税、信贷保险、用电用地、项目支撑等支持政策。积极引导和吸引社会资本投资农牧业农村牧区高质量发展。将重大建设项目作为规划实施的工作抓手、重要支撑和农业农村发展的引擎，认真研究国家有关政策，加大项目研究和争取工作力度，力争更多项目被纳入中央、自治区级计划“大盘子”。探索建立农村牧区经济重大建设项目推进机制，积极争取上级资金和政策支持，协调解决项目建设过程中的问题与困难，加强对重大建设项目的跟踪、督查和服务。</w:t>
      </w:r>
      <w:bookmarkEnd w:id="114"/>
      <w:bookmarkEnd w:id="115"/>
      <w:bookmarkEnd w:id="116"/>
      <w:bookmarkEnd w:id="117"/>
    </w:p>
    <w:p w14:paraId="760A37EF">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3.加强法治保障。</w:t>
      </w:r>
      <w:r>
        <w:rPr>
          <w:rFonts w:hint="eastAsia" w:ascii="仿宋_GB2312" w:hAnsi="仿宋" w:eastAsia="仿宋_GB2312" w:cs="仿宋_GB2312"/>
          <w:kern w:val="0"/>
          <w:sz w:val="32"/>
          <w:szCs w:val="32"/>
        </w:rPr>
        <w:t>扎实推进农牧业农村牧区法治建设，大力优化营商环境，贯彻落实“放管服”改革，完善“双随机、一公开”监管，提高监管执法规范性和透明度。深化农牧业综合行政执法改革，强化农牧业行政执法监督。开展农牧系统干部学法懂法用法活动，提高党员干部依法行政水平。广泛开展宪法和农牧业法律法规宣传，营造知法懂法氛围，提高广大农牧民法律水平。</w:t>
      </w:r>
    </w:p>
    <w:p w14:paraId="0EA84CFF">
      <w:pPr>
        <w:spacing w:line="560" w:lineRule="exact"/>
      </w:pPr>
      <w:bookmarkStart w:id="118" w:name="_Toc26028"/>
      <w:bookmarkStart w:id="119" w:name="_Toc94087901"/>
      <w:bookmarkStart w:id="120" w:name="_Toc30649"/>
      <w:bookmarkStart w:id="121" w:name="_Toc20871"/>
      <w:r>
        <w:rPr>
          <w:rFonts w:hint="eastAsia" w:ascii="楷体_GB2312" w:hAnsi="宋体" w:eastAsia="楷体_GB2312" w:cs="楷体_GB2312"/>
          <w:bCs/>
          <w:sz w:val="32"/>
        </w:rPr>
        <w:t>4.加强考核评估。</w:t>
      </w:r>
      <w:r>
        <w:rPr>
          <w:rFonts w:hint="eastAsia" w:ascii="仿宋_GB2312" w:hAnsi="仿宋" w:eastAsia="仿宋_GB2312" w:cs="仿宋_GB2312"/>
          <w:kern w:val="0"/>
          <w:sz w:val="32"/>
          <w:szCs w:val="32"/>
        </w:rPr>
        <w:t>加强规划实施考核和激励约束，健全规划实施督促检查机制，明确责任和进度要求，定期监督检查，抓好督促落实。各旗县区编制行业规划时，要加强与本规划的衔接和协调。要把巩固拓展脱贫攻坚成果同乡村振兴有效衔接、粮食生产、农牧民增收、农畜产品质量安全、农村牧区人居环境治理等作为考核领导班子绩效的重要内容，根据年度目标任务严格监督落实。要加强对约束性指标和主要预期指标完成情况的跟踪监测，开展规划落实情况评估，针对规划实施中发现的问题，及时研究，予以解决。</w:t>
      </w:r>
      <w:bookmarkEnd w:id="118"/>
      <w:bookmarkEnd w:id="119"/>
      <w:bookmarkEnd w:id="120"/>
      <w:bookmarkEnd w:id="121"/>
    </w:p>
    <w:p w14:paraId="5047CAA3">
      <w:pPr>
        <w:ind w:firstLine="640" w:firstLineChars="200"/>
        <w:rPr>
          <w:rFonts w:hint="eastAsia" w:eastAsia="仿宋_GB2312"/>
          <w:sz w:val="32"/>
        </w:rPr>
      </w:pPr>
    </w:p>
    <w:p w14:paraId="3267211A">
      <w:pPr>
        <w:adjustRightInd w:val="0"/>
        <w:snapToGrid w:val="0"/>
        <w:spacing w:line="580" w:lineRule="exact"/>
        <w:ind w:firstLine="640" w:firstLineChars="200"/>
        <w:rPr>
          <w:rFonts w:hint="eastAsia" w:ascii="仿宋_GB2312" w:eastAsia="仿宋_GB2312"/>
          <w:sz w:val="32"/>
        </w:rPr>
      </w:pPr>
    </w:p>
    <w:p w14:paraId="338BF6E2">
      <w:pPr>
        <w:adjustRightInd w:val="0"/>
        <w:snapToGrid w:val="0"/>
        <w:spacing w:line="580" w:lineRule="exact"/>
        <w:ind w:firstLine="640" w:firstLineChars="200"/>
        <w:rPr>
          <w:rFonts w:hint="eastAsia" w:ascii="仿宋_GB2312" w:eastAsia="仿宋_GB2312"/>
          <w:sz w:val="32"/>
        </w:rPr>
      </w:pPr>
    </w:p>
    <w:p w14:paraId="6B708578">
      <w:pPr>
        <w:ind w:firstLine="600"/>
        <w:rPr>
          <w:rFonts w:eastAsia="仿宋_GB2312"/>
          <w:sz w:val="32"/>
        </w:rPr>
      </w:pPr>
    </w:p>
    <w:p w14:paraId="60B81912">
      <w:pPr>
        <w:ind w:firstLine="600"/>
        <w:rPr>
          <w:rFonts w:eastAsia="仿宋_GB2312"/>
          <w:sz w:val="32"/>
        </w:rPr>
      </w:pPr>
    </w:p>
    <w:p w14:paraId="6FEFE70D">
      <w:pPr>
        <w:ind w:firstLine="600"/>
        <w:rPr>
          <w:rFonts w:eastAsia="仿宋_GB2312"/>
          <w:sz w:val="32"/>
        </w:rPr>
      </w:pPr>
    </w:p>
    <w:p w14:paraId="68687D5E">
      <w:pPr>
        <w:ind w:firstLine="600"/>
        <w:rPr>
          <w:rFonts w:eastAsia="仿宋_GB2312"/>
          <w:sz w:val="32"/>
        </w:rPr>
      </w:pPr>
    </w:p>
    <w:p w14:paraId="3F7A702B">
      <w:pPr>
        <w:ind w:firstLine="600"/>
        <w:rPr>
          <w:rFonts w:eastAsia="仿宋_GB2312"/>
          <w:sz w:val="32"/>
        </w:rPr>
      </w:pPr>
    </w:p>
    <w:p w14:paraId="7F862E24">
      <w:pPr>
        <w:ind w:firstLine="600"/>
        <w:rPr>
          <w:rFonts w:eastAsia="仿宋_GB2312"/>
          <w:sz w:val="32"/>
        </w:rPr>
      </w:pPr>
    </w:p>
    <w:p w14:paraId="1DCF68E4">
      <w:pPr>
        <w:ind w:firstLine="600"/>
        <w:rPr>
          <w:rFonts w:eastAsia="仿宋_GB2312"/>
          <w:sz w:val="32"/>
        </w:rPr>
      </w:pPr>
    </w:p>
    <w:p w14:paraId="5234FE39">
      <w:pPr>
        <w:ind w:firstLine="600"/>
        <w:rPr>
          <w:rFonts w:eastAsia="仿宋_GB2312"/>
          <w:sz w:val="32"/>
        </w:rPr>
      </w:pPr>
    </w:p>
    <w:p w14:paraId="427ECF6A">
      <w:pPr>
        <w:ind w:firstLine="600"/>
        <w:rPr>
          <w:rFonts w:hint="eastAsia" w:eastAsia="仿宋_GB2312"/>
          <w:sz w:val="32"/>
        </w:rPr>
      </w:pPr>
    </w:p>
    <w:p w14:paraId="30A650E1">
      <w:pPr>
        <w:rPr>
          <w:u w:val="single"/>
          <w:lang w:bidi="ar"/>
        </w:rPr>
      </w:pPr>
    </w:p>
    <w:p w14:paraId="59582497">
      <w:pPr>
        <w:ind w:firstLine="315" w:firstLineChars="150"/>
        <w:rPr>
          <w:u w:val="single"/>
          <w:lang w:bidi="ar"/>
        </w:rPr>
      </w:pPr>
      <w:r>
        <mc:AlternateContent>
          <mc:Choice Requires="wps">
            <w:drawing>
              <wp:anchor distT="0" distB="0" distL="114300" distR="114300" simplePos="0" relativeHeight="251663360" behindDoc="0" locked="0" layoutInCell="1" allowOverlap="1">
                <wp:simplePos x="0" y="0"/>
                <wp:positionH relativeFrom="column">
                  <wp:posOffset>-635</wp:posOffset>
                </wp:positionH>
                <wp:positionV relativeFrom="paragraph">
                  <wp:posOffset>19050</wp:posOffset>
                </wp:positionV>
                <wp:extent cx="5657850" cy="635"/>
                <wp:effectExtent l="0" t="0" r="0" b="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1.5pt;height:0.05pt;width:445.5pt;z-index:251663360;mso-width-relative:page;mso-height-relative:page;" filled="f" stroked="t" coordsize="21600,21600" o:gfxdata="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dl6pjtQAAAAFAQAADwAAAAAAAAABACAAAAAiAAAAZHJzL2Rvd25yZXYueG1s&#10;UEsBAhQAFAAAAAgAh07iQIej2j/8AQAAzgMAAA4AAAAAAAAAAQAgAAAAIwEAAGRycy9lMm9Eb2Mu&#10;eG1sUEsFBgAAAAAGAAYAWQEAAJEFAAAAAA==&#10;">
                <v:fill on="f" focussize="0,0"/>
                <v:stroke color="#000000" joinstyle="round"/>
                <v:imagedata o:title=""/>
                <o:lock v:ext="edit" aspectratio="f"/>
              </v:shape>
            </w:pict>
          </mc:Fallback>
        </mc:AlternateContent>
      </w:r>
      <w:r>
        <w:rPr>
          <w:rFonts w:hint="eastAsia" w:ascii="仿宋_GB2312" w:eastAsia="仿宋_GB2312"/>
          <w:sz w:val="28"/>
          <w:szCs w:val="28"/>
          <w:lang w:bidi="ar"/>
        </w:rPr>
        <w:t>抄送：市委办公室、人大常委会办公室、政协办公室。</w:t>
      </w:r>
    </w:p>
    <w:p w14:paraId="63A1CC12">
      <w:pPr>
        <w:ind w:firstLine="315" w:firstLineChars="150"/>
        <w:rPr>
          <w:rFonts w:hint="eastAsia"/>
          <w:lang w:bidi="ar"/>
        </w:rPr>
      </w:pPr>
      <w: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13335</wp:posOffset>
                </wp:positionV>
                <wp:extent cx="5657850" cy="635"/>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1.05pt;height:0.05pt;width:445.5pt;z-index:251662336;mso-width-relative:page;mso-height-relative:page;" filled="f" stroked="t" coordsize="21600,21600" o:gfxdata="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EIHYS0wAAAAUBAAAPAAAAAAAAAAEAIAAAACIAAABkcnMvZG93bnJldi54bWxQ&#10;SwECFAAUAAAACACHTuJA5lSyRPwBAADOAwAADgAAAAAAAAABACAAAAAiAQAAZHJzL2Uyb0RvYy54&#10;bWxQSwUGAAAAAAYABgBZAQAAkA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384810</wp:posOffset>
                </wp:positionV>
                <wp:extent cx="5657850" cy="635"/>
                <wp:effectExtent l="0" t="0" r="0" b="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30.3pt;height:0.05pt;width:445.5pt;z-index:251661312;mso-width-relative:page;mso-height-relative:page;" filled="f" stroked="t" coordsize="21600,21600" o:gfxdata="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FMv0c1QAAAAcBAAAPAAAAAAAAAAEAIAAAACIAAABkcnMvZG93bnJldi54&#10;bWxQSwECFAAUAAAACACHTuJAgJbZ//0BAADOAwAADgAAAAAAAAABACAAAAAkAQAAZHJzL2Uyb0Rv&#10;Yy54bWxQSwUGAAAAAAYABgBZAQAAkwUAAAAA&#10;">
                <v:fill on="f" focussize="0,0"/>
                <v:stroke color="#000000" joinstyle="round"/>
                <v:imagedata o:title=""/>
                <o:lock v:ext="edit" aspectratio="f"/>
              </v:shape>
            </w:pict>
          </mc:Fallback>
        </mc:AlternateContent>
      </w:r>
      <w:r>
        <w:rPr>
          <w:rFonts w:hint="eastAsia" w:ascii="仿宋_GB2312" w:eastAsia="仿宋_GB2312"/>
          <w:sz w:val="28"/>
          <w:szCs w:val="28"/>
          <w:lang w:bidi="ar"/>
        </w:rPr>
        <w:t>赤峰市人民政府办公室秘书二科            2023年5月</w:t>
      </w:r>
      <w:r>
        <w:rPr>
          <w:rFonts w:ascii="仿宋_GB2312" w:eastAsia="仿宋_GB2312"/>
          <w:sz w:val="28"/>
          <w:szCs w:val="28"/>
          <w:lang w:bidi="ar"/>
        </w:rPr>
        <w:t>31</w:t>
      </w:r>
      <w:r>
        <w:rPr>
          <w:rFonts w:hint="eastAsia" w:ascii="仿宋_GB2312" w:eastAsia="仿宋_GB2312"/>
          <w:sz w:val="28"/>
          <w:szCs w:val="28"/>
          <w:lang w:bidi="ar"/>
        </w:rPr>
        <w:t>日印发</w:t>
      </w:r>
    </w:p>
    <w:p w14:paraId="3F596CA8"/>
    <w:sectPr>
      <w:headerReference r:id="rId3" w:type="default"/>
      <w:footerReference r:id="rId5" w:type="default"/>
      <w:headerReference r:id="rId4" w:type="even"/>
      <w:footerReference r:id="rId6" w:type="even"/>
      <w:pgSz w:w="11906" w:h="16838"/>
      <w:pgMar w:top="2041" w:right="1474" w:bottom="1871"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ED0D7">
    <w:pPr>
      <w:pStyle w:val="2"/>
      <w:jc w:val="right"/>
      <w:rPr>
        <w:rFonts w:ascii="宋体" w:hAnsi="宋体"/>
        <w:sz w:val="28"/>
      </w:rPr>
    </w:pPr>
    <w:r>
      <w:rPr>
        <w:rFonts w:ascii="宋体" w:hAnsi="宋体"/>
        <w:sz w:val="28"/>
      </w:rPr>
      <w:fldChar w:fldCharType="begin"/>
    </w:r>
    <w:r>
      <w:rPr>
        <w:rFonts w:ascii="宋体" w:hAnsi="宋体"/>
        <w:sz w:val="28"/>
      </w:rPr>
      <w:instrText xml:space="preserve">PAGE   \* MERGEFORMAT</w:instrText>
    </w:r>
    <w:r>
      <w:rPr>
        <w:rFonts w:ascii="宋体" w:hAnsi="宋体"/>
        <w:sz w:val="28"/>
      </w:rPr>
      <w:fldChar w:fldCharType="separate"/>
    </w:r>
    <w:r>
      <w:rPr>
        <w:rFonts w:ascii="宋体" w:hAnsi="宋体"/>
        <w:sz w:val="28"/>
        <w:lang w:val="zh-CN"/>
      </w:rPr>
      <w:t>-</w:t>
    </w:r>
    <w:r>
      <w:rPr>
        <w:rFonts w:ascii="宋体" w:hAnsi="宋体"/>
        <w:sz w:val="28"/>
      </w:rPr>
      <w:t xml:space="preserve"> 1 -</w:t>
    </w:r>
    <w:r>
      <w:rPr>
        <w:rFonts w:ascii="宋体" w:hAnsi="宋体"/>
        <w:sz w:val="28"/>
      </w:rPr>
      <w:fldChar w:fldCharType="end"/>
    </w:r>
  </w:p>
  <w:p w14:paraId="3971D1A3">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47965">
    <w:pPr>
      <w:pStyle w:val="2"/>
      <w:rPr>
        <w:rFonts w:ascii="宋体" w:hAnsi="宋体"/>
        <w:sz w:val="28"/>
      </w:rPr>
    </w:pPr>
    <w:r>
      <w:rPr>
        <w:rFonts w:ascii="宋体" w:hAnsi="宋体"/>
        <w:sz w:val="28"/>
      </w:rPr>
      <w:fldChar w:fldCharType="begin"/>
    </w:r>
    <w:r>
      <w:rPr>
        <w:rFonts w:ascii="宋体" w:hAnsi="宋体"/>
        <w:sz w:val="28"/>
      </w:rPr>
      <w:instrText xml:space="preserve">PAGE   \* MERGEFORMAT</w:instrText>
    </w:r>
    <w:r>
      <w:rPr>
        <w:rFonts w:ascii="宋体" w:hAnsi="宋体"/>
        <w:sz w:val="28"/>
      </w:rPr>
      <w:fldChar w:fldCharType="separate"/>
    </w:r>
    <w:r>
      <w:rPr>
        <w:rFonts w:ascii="宋体" w:hAnsi="宋体"/>
        <w:sz w:val="28"/>
        <w:lang w:val="zh-CN"/>
      </w:rPr>
      <w:t>-</w:t>
    </w:r>
    <w:r>
      <w:rPr>
        <w:rFonts w:ascii="宋体" w:hAnsi="宋体"/>
        <w:sz w:val="28"/>
      </w:rPr>
      <w:t xml:space="preserve"> 2 -</w:t>
    </w:r>
    <w:r>
      <w:rPr>
        <w:rFonts w:ascii="宋体" w:hAnsi="宋体"/>
        <w:sz w:val="28"/>
      </w:rPr>
      <w:fldChar w:fldCharType="end"/>
    </w:r>
  </w:p>
  <w:p w14:paraId="59C5161F">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2F22C">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E5644">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E37CA1"/>
    <w:multiLevelType w:val="multilevel"/>
    <w:tmpl w:val="40E37CA1"/>
    <w:lvl w:ilvl="0" w:tentative="0">
      <w:start w:val="1"/>
      <w:numFmt w:val="japaneseCounting"/>
      <w:lvlText w:val="第%1章"/>
      <w:lvlJc w:val="left"/>
      <w:pPr>
        <w:ind w:left="1980" w:hanging="12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mYTQxYWY4Njk4YWQxZTg1MDBkYzBiYzdlZTg3NWEifQ=="/>
  </w:docVars>
  <w:rsids>
    <w:rsidRoot w:val="00000000"/>
    <w:rsid w:val="08FD0245"/>
    <w:rsid w:val="0993557F"/>
    <w:rsid w:val="207B2792"/>
    <w:rsid w:val="3C0926B3"/>
    <w:rsid w:val="5D4B5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56</Pages>
  <Words>31678</Words>
  <Characters>32413</Characters>
  <Lines>0</Lines>
  <Paragraphs>0</Paragraphs>
  <TotalTime>0</TotalTime>
  <ScaleCrop>false</ScaleCrop>
  <LinksUpToDate>false</LinksUpToDate>
  <CharactersWithSpaces>36109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2023-06-12T02:32:00Z</dcterms:created>
  <dc:creator>admin</dc:creator>
  <cp:lastModifiedBy>对味</cp:lastModifiedBy>
  <dcterms:modified xsi:type="dcterms:W3CDTF">2024-10-23T09:17:20Z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88D3BF2660284E05ABA2FC050F6509A4_13</vt:lpwstr>
  </property>
</Properties>
</file>