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sz w:val="21"/>
          <w:szCs w:val="21"/>
          <w:vertAlign w:val="baseline"/>
          <w:lang w:eastAsia="zh-CN"/>
        </w:rPr>
      </w:pPr>
      <w:r>
        <w:drawing>
          <wp:anchor distT="0" distB="0" distL="114300" distR="114300" simplePos="0" relativeHeight="251659264" behindDoc="1" locked="0" layoutInCell="1" allowOverlap="1">
            <wp:simplePos x="0" y="0"/>
            <wp:positionH relativeFrom="page">
              <wp:posOffset>1242060</wp:posOffset>
            </wp:positionH>
            <wp:positionV relativeFrom="page">
              <wp:posOffset>981710</wp:posOffset>
            </wp:positionV>
            <wp:extent cx="4728210" cy="1288415"/>
            <wp:effectExtent l="0" t="0" r="15240" b="0"/>
            <wp:wrapNone/>
            <wp:docPr id="6" name="图片 4" descr="C:\Users\86130\Desktop\市政府\zjk图片\zjk图片\秘书二科\发文\赤政办字.png赤政办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C:\Users\86130\Desktop\市政府\zjk图片\zjk图片\秘书二科\发文\赤政办字.png赤政办字"/>
                    <pic:cNvPicPr>
                      <a:picLocks noChangeAspect="1"/>
                    </pic:cNvPicPr>
                  </pic:nvPicPr>
                  <pic:blipFill>
                    <a:blip r:embed="rId7"/>
                    <a:stretch>
                      <a:fillRect/>
                    </a:stretch>
                  </pic:blipFill>
                  <pic:spPr>
                    <a:xfrm>
                      <a:off x="0" y="0"/>
                      <a:ext cx="4728210" cy="128841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sz w:val="21"/>
          <w:szCs w:val="21"/>
          <w:vertAlign w:val="baseline"/>
          <w:lang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sz w:val="21"/>
          <w:szCs w:val="21"/>
          <w:vertAlign w:val="baseline"/>
          <w:lang w:eastAsia="zh-CN"/>
        </w:rPr>
      </w:pPr>
    </w:p>
    <w:tbl>
      <w:tblPr>
        <w:tblStyle w:val="9"/>
        <w:tblpPr w:leftFromText="180" w:rightFromText="180" w:vertAnchor="text" w:horzAnchor="page" w:tblpX="1712" w:tblpY="437"/>
        <w:tblOverlap w:val="never"/>
        <w:tblW w:w="8360" w:type="dxa"/>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360"/>
      </w:tblGrid>
      <w:tr>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PrEx>
        <w:trPr>
          <w:trHeight w:val="138" w:hRule="exact"/>
        </w:trPr>
        <w:tc>
          <w:tcPr>
            <w:tcW w:w="8360" w:type="dxa"/>
            <w:tcBorders>
              <w:top w:val="single" w:color="FF0000" w:sz="36" w:space="0"/>
              <w:bottom w:val="single" w:color="FF0000" w:sz="12" w:space="0"/>
            </w:tcBorders>
            <w:noWrap w:val="0"/>
            <w:vAlign w:val="top"/>
          </w:tcPr>
          <w:p>
            <w:pPr>
              <w:keepNext w:val="0"/>
              <w:keepLines w:val="0"/>
              <w:pageBreakBefore w:val="0"/>
              <w:widowControl w:val="0"/>
              <w:kinsoku/>
              <w:wordWrap/>
              <w:overflowPunct/>
              <w:topLinePunct w:val="0"/>
              <w:autoSpaceDE/>
              <w:autoSpaceDN/>
              <w:bidi w:val="0"/>
              <w:adjustRightInd w:val="0"/>
              <w:snapToGrid w:val="0"/>
              <w:spacing w:before="313" w:beforeLines="100" w:line="560" w:lineRule="exact"/>
              <w:jc w:val="right"/>
              <w:textAlignment w:val="auto"/>
              <w:rPr>
                <w:vertAlign w:val="baseline"/>
              </w:rPr>
            </w:pPr>
          </w:p>
          <w:p>
            <w:pPr>
              <w:keepNext w:val="0"/>
              <w:keepLines w:val="0"/>
              <w:pageBreakBefore w:val="0"/>
              <w:widowControl w:val="0"/>
              <w:kinsoku/>
              <w:wordWrap/>
              <w:overflowPunct/>
              <w:topLinePunct w:val="0"/>
              <w:autoSpaceDE/>
              <w:autoSpaceDN/>
              <w:bidi w:val="0"/>
              <w:adjustRightInd w:val="0"/>
              <w:snapToGrid w:val="0"/>
              <w:spacing w:before="313" w:beforeLines="100"/>
              <w:jc w:val="center"/>
              <w:textAlignment w:val="auto"/>
              <w:rPr>
                <w:rFonts w:hint="default" w:ascii="仿宋" w:hAnsi="仿宋" w:eastAsia="仿宋" w:cs="仿宋"/>
                <w:b w:val="0"/>
                <w:bCs w:val="0"/>
                <w:sz w:val="32"/>
                <w:szCs w:val="32"/>
                <w:lang w:val="en-US"/>
              </w:rPr>
            </w:pPr>
          </w:p>
        </w:tc>
      </w:tr>
      <w:tr>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PrEx>
        <w:trPr>
          <w:trHeight w:val="564" w:hRule="exact"/>
        </w:trPr>
        <w:tc>
          <w:tcPr>
            <w:tcW w:w="8360" w:type="dxa"/>
            <w:tcBorders>
              <w:top w:val="single" w:color="FF0000" w:sz="12" w:space="0"/>
            </w:tcBorders>
            <w:noWrap w:val="0"/>
            <w:vAlign w:val="top"/>
          </w:tcPr>
          <w:p>
            <w:pPr>
              <w:keepNext w:val="0"/>
              <w:keepLines w:val="0"/>
              <w:pageBreakBefore w:val="0"/>
              <w:widowControl w:val="0"/>
              <w:kinsoku/>
              <w:wordWrap/>
              <w:overflowPunct/>
              <w:topLinePunct w:val="0"/>
              <w:autoSpaceDE/>
              <w:autoSpaceDN/>
              <w:bidi w:val="0"/>
              <w:adjustRightInd w:val="0"/>
              <w:snapToGrid w:val="0"/>
              <w:spacing w:line="560" w:lineRule="exact"/>
              <w:jc w:val="right"/>
              <w:textAlignment w:val="auto"/>
              <w:rPr>
                <w:rFonts w:hint="eastAsia" w:ascii="仿宋" w:hAnsi="仿宋" w:eastAsia="仿宋" w:cs="仿宋"/>
                <w:b w:val="0"/>
                <w:bCs w:val="0"/>
                <w:sz w:val="32"/>
                <w:szCs w:val="32"/>
                <w:lang w:val="en-US" w:eastAsia="zh-CN"/>
              </w:rPr>
            </w:pPr>
            <w:r>
              <w:rPr>
                <w:rFonts w:hint="eastAsia" w:ascii="仿宋_GB2312" w:hAnsi="仿宋_GB2312" w:eastAsia="仿宋_GB2312" w:cs="仿宋_GB2312"/>
                <w:b w:val="0"/>
                <w:bCs w:val="0"/>
                <w:sz w:val="32"/>
                <w:szCs w:val="32"/>
                <w:lang w:val="en-US" w:eastAsia="zh-CN"/>
              </w:rPr>
              <w:t>赤政办字〔2024〕28号</w:t>
            </w:r>
          </w:p>
        </w:tc>
      </w:tr>
    </w:tbl>
    <w:p>
      <w:pPr>
        <w:keepNext w:val="0"/>
        <w:keepLines w:val="0"/>
        <w:pageBreakBefore w:val="0"/>
        <w:widowControl w:val="0"/>
        <w:kinsoku/>
        <w:wordWrap/>
        <w:overflowPunct/>
        <w:topLinePunct w:val="0"/>
        <w:autoSpaceDE/>
        <w:autoSpaceDN/>
        <w:bidi w:val="0"/>
        <w:adjustRightInd/>
        <w:snapToGrid/>
        <w:spacing w:line="560" w:lineRule="exact"/>
        <w:ind w:left="1320" w:hanging="1320" w:hangingChars="300"/>
        <w:jc w:val="center"/>
        <w:textAlignment w:val="auto"/>
        <w:rPr>
          <w:rFonts w:hint="eastAsia" w:ascii="方正小标宋简体" w:hAnsi="方正小标宋简体" w:eastAsia="方正小标宋简体" w:cs="方正小标宋简体"/>
          <w:sz w:val="44"/>
          <w:szCs w:val="44"/>
          <w:highlight w:val="none"/>
          <w:lang w:bidi="ar-SA"/>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highlight w:val="none"/>
          <w:lang w:bidi="ar-SA"/>
        </w:rPr>
      </w:pPr>
    </w:p>
    <w:p>
      <w:pPr>
        <w:keepNext w:val="0"/>
        <w:keepLines w:val="0"/>
        <w:pageBreakBefore w:val="0"/>
        <w:widowControl w:val="0"/>
        <w:kinsoku/>
        <w:wordWrap/>
        <w:overflowPunct/>
        <w:topLinePunct w:val="0"/>
        <w:autoSpaceDE/>
        <w:autoSpaceDN/>
        <w:bidi w:val="0"/>
        <w:adjustRightInd/>
        <w:snapToGrid/>
        <w:spacing w:line="560" w:lineRule="exact"/>
        <w:ind w:left="1320" w:hanging="1320" w:hangingChars="300"/>
        <w:jc w:val="center"/>
        <w:textAlignment w:val="auto"/>
        <w:rPr>
          <w:rFonts w:hint="eastAsia" w:ascii="方正小标宋简体" w:hAnsi="方正小标宋简体" w:eastAsia="方正小标宋简体" w:cs="方正小标宋简体"/>
          <w:sz w:val="44"/>
          <w:szCs w:val="44"/>
          <w:highlight w:val="none"/>
          <w:lang w:eastAsia="zh-CN" w:bidi="ar-SA"/>
        </w:rPr>
      </w:pPr>
      <w:r>
        <w:rPr>
          <w:rFonts w:hint="eastAsia" w:ascii="方正小标宋简体" w:hAnsi="方正小标宋简体" w:eastAsia="方正小标宋简体" w:cs="方正小标宋简体"/>
          <w:sz w:val="44"/>
          <w:szCs w:val="44"/>
          <w:highlight w:val="none"/>
          <w:lang w:eastAsia="zh-CN" w:bidi="ar-SA"/>
        </w:rPr>
        <w:t>赤峰市人民政府办公室</w:t>
      </w:r>
    </w:p>
    <w:p>
      <w:pPr>
        <w:keepNext w:val="0"/>
        <w:keepLines w:val="0"/>
        <w:pageBreakBefore w:val="0"/>
        <w:widowControl w:val="0"/>
        <w:kinsoku/>
        <w:wordWrap/>
        <w:overflowPunct/>
        <w:topLinePunct w:val="0"/>
        <w:autoSpaceDE/>
        <w:autoSpaceDN/>
        <w:bidi w:val="0"/>
        <w:adjustRightInd/>
        <w:snapToGrid/>
        <w:spacing w:line="560" w:lineRule="exact"/>
        <w:ind w:left="1320" w:hanging="1320" w:hangingChars="300"/>
        <w:jc w:val="center"/>
        <w:textAlignment w:val="auto"/>
        <w:rPr>
          <w:rFonts w:hint="eastAsia" w:ascii="方正小标宋简体" w:hAnsi="方正小标宋简体" w:eastAsia="方正小标宋简体" w:cs="方正小标宋简体"/>
          <w:sz w:val="44"/>
          <w:szCs w:val="44"/>
          <w:highlight w:val="none"/>
          <w:lang w:bidi="ar-SA"/>
        </w:rPr>
      </w:pPr>
      <w:r>
        <w:rPr>
          <w:rFonts w:hint="eastAsia" w:ascii="方正小标宋简体" w:hAnsi="方正小标宋简体" w:eastAsia="方正小标宋简体" w:cs="方正小标宋简体"/>
          <w:sz w:val="44"/>
          <w:szCs w:val="44"/>
          <w:highlight w:val="none"/>
          <w:lang w:bidi="ar-SA"/>
        </w:rPr>
        <w:t>关于</w:t>
      </w:r>
      <w:r>
        <w:rPr>
          <w:rFonts w:hint="eastAsia" w:ascii="方正小标宋简体" w:hAnsi="方正小标宋简体" w:eastAsia="方正小标宋简体" w:cs="方正小标宋简体"/>
          <w:sz w:val="44"/>
          <w:szCs w:val="44"/>
          <w:highlight w:val="none"/>
          <w:lang w:val="en-US" w:eastAsia="zh-CN" w:bidi="ar-SA"/>
        </w:rPr>
        <w:t>印发</w:t>
      </w:r>
      <w:r>
        <w:rPr>
          <w:rFonts w:hint="eastAsia" w:ascii="方正小标宋简体" w:hAnsi="方正小标宋简体" w:eastAsia="方正小标宋简体" w:cs="方正小标宋简体"/>
          <w:sz w:val="44"/>
          <w:szCs w:val="44"/>
          <w:highlight w:val="none"/>
          <w:lang w:bidi="ar-SA"/>
        </w:rPr>
        <w:t>《赤峰市电力接入工程费用</w:t>
      </w:r>
    </w:p>
    <w:p>
      <w:pPr>
        <w:keepNext w:val="0"/>
        <w:keepLines w:val="0"/>
        <w:pageBreakBefore w:val="0"/>
        <w:widowControl w:val="0"/>
        <w:kinsoku/>
        <w:wordWrap/>
        <w:overflowPunct/>
        <w:topLinePunct w:val="0"/>
        <w:autoSpaceDE/>
        <w:autoSpaceDN/>
        <w:bidi w:val="0"/>
        <w:adjustRightInd/>
        <w:snapToGrid/>
        <w:spacing w:line="560" w:lineRule="exact"/>
        <w:ind w:left="1320" w:hanging="1320" w:hangingChars="300"/>
        <w:jc w:val="center"/>
        <w:textAlignment w:val="auto"/>
        <w:rPr>
          <w:rFonts w:hint="eastAsia" w:ascii="方正小标宋简体" w:hAnsi="方正小标宋简体" w:eastAsia="方正小标宋简体" w:cs="方正小标宋简体"/>
          <w:sz w:val="44"/>
          <w:szCs w:val="44"/>
          <w:highlight w:val="none"/>
          <w:lang w:val="en-US" w:eastAsia="zh-CN" w:bidi="ar-SA"/>
        </w:rPr>
      </w:pPr>
      <w:r>
        <w:rPr>
          <w:rFonts w:hint="eastAsia" w:ascii="方正小标宋简体" w:hAnsi="方正小标宋简体" w:eastAsia="方正小标宋简体" w:cs="方正小标宋简体"/>
          <w:sz w:val="44"/>
          <w:szCs w:val="44"/>
          <w:highlight w:val="none"/>
          <w:lang w:bidi="ar-SA"/>
        </w:rPr>
        <w:t>分担机制</w:t>
      </w:r>
      <w:r>
        <w:rPr>
          <w:rFonts w:hint="eastAsia" w:ascii="方正小标宋简体" w:hAnsi="方正小标宋简体" w:eastAsia="方正小标宋简体" w:cs="方正小标宋简体"/>
          <w:sz w:val="44"/>
          <w:szCs w:val="44"/>
          <w:highlight w:val="none"/>
          <w:lang w:eastAsia="zh-CN" w:bidi="ar-SA"/>
        </w:rPr>
        <w:t>实施方案</w:t>
      </w:r>
      <w:r>
        <w:rPr>
          <w:rFonts w:hint="eastAsia" w:ascii="方正小标宋简体" w:hAnsi="方正小标宋简体" w:eastAsia="方正小标宋简体" w:cs="方正小标宋简体"/>
          <w:sz w:val="44"/>
          <w:szCs w:val="44"/>
          <w:highlight w:val="none"/>
          <w:lang w:bidi="ar-SA"/>
        </w:rPr>
        <w:t>》的通知</w:t>
      </w:r>
      <w:r>
        <w:rPr>
          <w:rFonts w:hint="eastAsia" w:ascii="方正小标宋简体" w:hAnsi="方正小标宋简体" w:eastAsia="方正小标宋简体" w:cs="方正小标宋简体"/>
          <w:sz w:val="44"/>
          <w:szCs w:val="44"/>
          <w:highlight w:val="none"/>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 w:hAnsi="仿宋" w:eastAsia="仿宋"/>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各旗县区人民政府</w:t>
      </w:r>
      <w:r>
        <w:rPr>
          <w:rFonts w:hint="eastAsia" w:ascii="仿宋_GB2312" w:hAnsi="仿宋_GB2312" w:eastAsia="仿宋_GB2312" w:cs="仿宋_GB2312"/>
          <w:sz w:val="32"/>
          <w:szCs w:val="32"/>
          <w:highlight w:val="none"/>
          <w:lang w:eastAsia="zh-CN"/>
        </w:rPr>
        <w:t>，市财政局、自然资源局、住房城乡建设局、市场监管局、能源局，国网赤峰供电公司</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hint="eastAsia" w:ascii="仿宋" w:hAnsi="仿宋" w:eastAsia="仿宋"/>
          <w:sz w:val="32"/>
          <w:szCs w:val="32"/>
          <w:highlight w:val="none"/>
        </w:rPr>
      </w:pPr>
      <w:r>
        <w:rPr>
          <w:rFonts w:hint="eastAsia" w:ascii="仿宋_GB2312" w:hAnsi="仿宋_GB2312" w:eastAsia="仿宋_GB2312" w:cs="仿宋_GB2312"/>
          <w:sz w:val="32"/>
          <w:szCs w:val="32"/>
          <w:highlight w:val="none"/>
          <w:lang w:eastAsia="zh-CN"/>
        </w:rPr>
        <w:t>经市政府同意，</w:t>
      </w:r>
      <w:r>
        <w:rPr>
          <w:rFonts w:hint="eastAsia" w:ascii="仿宋_GB2312" w:hAnsi="仿宋_GB2312" w:eastAsia="仿宋_GB2312" w:cs="仿宋_GB2312"/>
          <w:sz w:val="32"/>
          <w:szCs w:val="32"/>
          <w:highlight w:val="none"/>
        </w:rPr>
        <w:t>现将《赤峰市电力接入工程费用分担机制</w:t>
      </w:r>
      <w:r>
        <w:rPr>
          <w:rFonts w:hint="eastAsia" w:ascii="仿宋_GB2312" w:hAnsi="仿宋_GB2312" w:eastAsia="仿宋_GB2312" w:cs="仿宋_GB2312"/>
          <w:sz w:val="32"/>
          <w:szCs w:val="32"/>
          <w:highlight w:val="none"/>
          <w:lang w:eastAsia="zh-CN"/>
        </w:rPr>
        <w:t>实施方案</w:t>
      </w:r>
      <w:r>
        <w:rPr>
          <w:rFonts w:hint="eastAsia" w:ascii="仿宋_GB2312" w:hAnsi="仿宋_GB2312" w:eastAsia="仿宋_GB2312" w:cs="仿宋_GB2312"/>
          <w:sz w:val="32"/>
          <w:szCs w:val="32"/>
          <w:highlight w:val="none"/>
        </w:rPr>
        <w:t>》印发给你们，请结合实际，认真贯彻落实。</w:t>
      </w:r>
      <w:r>
        <w:rPr>
          <w:rFonts w:hint="eastAsia" w:ascii="仿宋_GB2312" w:hAnsi="仿宋_GB2312" w:eastAsia="仿宋_GB2312" w:cs="仿宋_GB2312"/>
          <w:sz w:val="32"/>
          <w:szCs w:val="32"/>
          <w:highlight w:val="none"/>
          <w:lang w:val="en-US" w:eastAsia="zh-CN"/>
        </w:rPr>
        <w:t>2023年10月30日印发的《赤峰市电力接入工程费用分担机制实施意见》（赤政办字</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32号）同时废止。</w:t>
      </w:r>
    </w:p>
    <w:p>
      <w:pPr>
        <w:pStyle w:val="5"/>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rPr>
      </w:pPr>
    </w:p>
    <w:p>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left="0" w:firstLine="4480" w:firstLineChars="14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rPr>
        <w:t>日</w:t>
      </w:r>
    </w:p>
    <w:p>
      <w:pPr>
        <w:pStyle w:val="5"/>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（此件公开发布）</w:t>
      </w: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Cs/>
          <w:color w:val="000000"/>
          <w:sz w:val="44"/>
          <w:szCs w:val="44"/>
          <w:highlight w:val="none"/>
          <w:lang w:bidi="ar-SA"/>
        </w:rPr>
      </w:pP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Cs/>
          <w:color w:val="000000"/>
          <w:sz w:val="44"/>
          <w:szCs w:val="44"/>
          <w:highlight w:val="none"/>
          <w:lang w:bidi="ar-SA"/>
        </w:rPr>
      </w:pPr>
      <w:r>
        <w:rPr>
          <w:rFonts w:hint="eastAsia" w:ascii="方正小标宋简体" w:hAnsi="方正小标宋简体" w:eastAsia="方正小标宋简体" w:cs="方正小标宋简体"/>
          <w:bCs/>
          <w:color w:val="000000"/>
          <w:sz w:val="44"/>
          <w:szCs w:val="44"/>
          <w:highlight w:val="none"/>
          <w:lang w:bidi="ar-SA"/>
        </w:rPr>
        <w:t>赤峰市电力接入工程费用</w:t>
      </w: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Cs/>
          <w:color w:val="000000"/>
          <w:sz w:val="44"/>
          <w:szCs w:val="44"/>
          <w:highlight w:val="none"/>
          <w:lang w:eastAsia="zh-CN" w:bidi="ar-SA"/>
        </w:rPr>
      </w:pPr>
      <w:r>
        <w:rPr>
          <w:rFonts w:hint="eastAsia" w:ascii="方正小标宋简体" w:hAnsi="方正小标宋简体" w:eastAsia="方正小标宋简体" w:cs="方正小标宋简体"/>
          <w:bCs/>
          <w:color w:val="000000"/>
          <w:sz w:val="44"/>
          <w:szCs w:val="44"/>
          <w:highlight w:val="none"/>
          <w:lang w:bidi="ar-SA"/>
        </w:rPr>
        <w:t>分担机制</w:t>
      </w:r>
      <w:r>
        <w:rPr>
          <w:rFonts w:hint="eastAsia" w:ascii="方正小标宋简体" w:hAnsi="方正小标宋简体" w:eastAsia="方正小标宋简体" w:cs="方正小标宋简体"/>
          <w:bCs/>
          <w:color w:val="000000"/>
          <w:sz w:val="44"/>
          <w:szCs w:val="44"/>
          <w:highlight w:val="none"/>
          <w:lang w:eastAsia="zh-CN" w:bidi="ar-SA"/>
        </w:rPr>
        <w:t>实施方案</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方正仿宋_GBK"/>
          <w:color w:val="000000"/>
          <w:sz w:val="32"/>
          <w:szCs w:val="32"/>
          <w:highlight w:val="none"/>
          <w:lang w:bidi="ar-SA"/>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为贯彻</w:t>
      </w:r>
      <w:bookmarkStart w:id="0" w:name="OLE_LINK89"/>
      <w:r>
        <w:rPr>
          <w:rFonts w:hint="eastAsia" w:ascii="仿宋_GB2312" w:hAnsi="仿宋_GB2312" w:eastAsia="仿宋_GB2312" w:cs="仿宋_GB2312"/>
          <w:sz w:val="32"/>
          <w:szCs w:val="32"/>
          <w:highlight w:val="none"/>
          <w:lang w:val="en-US" w:eastAsia="zh-CN" w:bidi="ar-SA"/>
        </w:rPr>
        <w:t>《内蒙古自治区人民政府办公厅印发贯彻落实〈关于清理规范城镇供水供电供气供暖行业收费促进行业高质量发展的意见〉分工方案的通知》（内政办字〔2021〕59号）和《内蒙古自治区人民政府关于印发自治区持续优化营商环境行动方案的通知》（内政发〔2024〕16号）要求</w:t>
      </w:r>
      <w:bookmarkEnd w:id="0"/>
      <w:r>
        <w:rPr>
          <w:rFonts w:hint="eastAsia" w:ascii="仿宋_GB2312" w:hAnsi="仿宋_GB2312" w:eastAsia="仿宋_GB2312" w:cs="仿宋_GB2312"/>
          <w:sz w:val="32"/>
          <w:szCs w:val="32"/>
          <w:highlight w:val="none"/>
          <w:lang w:val="en-US" w:eastAsia="zh-CN" w:bidi="ar-SA"/>
        </w:rPr>
        <w:t>，进一步优化营商环境，</w:t>
      </w:r>
      <w:bookmarkStart w:id="1" w:name="OLE_LINK91"/>
      <w:r>
        <w:rPr>
          <w:rFonts w:hint="eastAsia" w:ascii="仿宋_GB2312" w:hAnsi="仿宋_GB2312" w:eastAsia="仿宋_GB2312" w:cs="仿宋_GB2312"/>
          <w:sz w:val="32"/>
          <w:szCs w:val="32"/>
          <w:highlight w:val="none"/>
          <w:lang w:val="en-US" w:eastAsia="zh-CN" w:bidi="ar-SA"/>
        </w:rPr>
        <w:t>减轻企业负担</w:t>
      </w:r>
      <w:bookmarkEnd w:id="1"/>
      <w:r>
        <w:rPr>
          <w:rFonts w:hint="eastAsia" w:ascii="仿宋_GB2312" w:hAnsi="仿宋_GB2312" w:eastAsia="仿宋_GB2312" w:cs="仿宋_GB2312"/>
          <w:sz w:val="32"/>
          <w:szCs w:val="32"/>
          <w:highlight w:val="none"/>
          <w:lang w:val="en-US" w:eastAsia="zh-CN" w:bidi="ar-SA"/>
        </w:rPr>
        <w:t>，明确职责分工及补偿要求，制定本实施方案。</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黑体"/>
          <w:color w:val="auto"/>
          <w:sz w:val="32"/>
          <w:szCs w:val="32"/>
          <w:highlight w:val="none"/>
          <w:lang w:val="en-US" w:eastAsia="zh-CN" w:bidi="ar-SA"/>
        </w:rPr>
      </w:pPr>
      <w:bookmarkStart w:id="2" w:name="_Toc20064"/>
      <w:bookmarkStart w:id="3" w:name="_Toc14238"/>
      <w:bookmarkStart w:id="4" w:name="_Toc259"/>
      <w:bookmarkStart w:id="5" w:name="OLE_LINK128"/>
      <w:r>
        <w:rPr>
          <w:rFonts w:hint="eastAsia" w:ascii="黑体" w:hAnsi="黑体" w:eastAsia="黑体" w:cs="黑体"/>
          <w:color w:val="auto"/>
          <w:sz w:val="32"/>
          <w:szCs w:val="32"/>
          <w:highlight w:val="none"/>
          <w:lang w:val="en-US" w:eastAsia="zh-CN" w:bidi="ar-SA"/>
        </w:rPr>
        <w:t>一、适用范围及定义</w:t>
      </w:r>
      <w:bookmarkEnd w:id="2"/>
      <w:bookmarkEnd w:id="3"/>
      <w:bookmarkEnd w:id="4"/>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楷体_GB2312" w:hAnsi="楷体_GB2312" w:eastAsia="楷体_GB2312" w:cs="楷体_GB2312"/>
          <w:color w:val="auto"/>
          <w:sz w:val="32"/>
          <w:szCs w:val="32"/>
          <w:highlight w:val="none"/>
          <w:lang w:val="en-US" w:eastAsia="zh-CN" w:bidi="ar-SA"/>
        </w:rPr>
      </w:pPr>
      <w:r>
        <w:rPr>
          <w:rFonts w:hint="eastAsia" w:ascii="楷体_GB2312" w:hAnsi="楷体_GB2312" w:eastAsia="楷体_GB2312" w:cs="楷体_GB2312"/>
          <w:color w:val="auto"/>
          <w:sz w:val="32"/>
          <w:szCs w:val="32"/>
          <w:highlight w:val="none"/>
          <w:lang w:val="en-US" w:eastAsia="zh-CN" w:bidi="ar-SA"/>
        </w:rPr>
        <w:t>（一）适用范围</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城镇规划建设用地范围内，自2021年3月1日国办函〔2020〕129号文件施行后，通过出让或划拨等方式取得土地使用权的城镇规划建设用地范围内项目，按本通知规定执行。2021年3月1日前取得土地使用权的项目，仍按原有政策规定或合同约定执行。</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楷体_GB2312" w:hAnsi="楷体_GB2312" w:eastAsia="楷体_GB2312" w:cs="楷体_GB2312"/>
          <w:color w:val="auto"/>
          <w:sz w:val="32"/>
          <w:szCs w:val="32"/>
          <w:highlight w:val="none"/>
          <w:lang w:val="en-US" w:eastAsia="zh-CN" w:bidi="ar-SA"/>
        </w:rPr>
      </w:pPr>
      <w:r>
        <w:rPr>
          <w:rFonts w:hint="eastAsia" w:ascii="楷体_GB2312" w:hAnsi="楷体_GB2312" w:eastAsia="楷体_GB2312" w:cs="楷体_GB2312"/>
          <w:color w:val="auto"/>
          <w:sz w:val="32"/>
          <w:szCs w:val="32"/>
          <w:highlight w:val="none"/>
          <w:lang w:val="en-US" w:eastAsia="zh-CN" w:bidi="ar-SA"/>
        </w:rPr>
        <w:t>（二）电力接入工程费用定义及划分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1.电力接入工程费用定义。在城镇规划建设用地范围内，从用户建筑区划红线连接至公共管网发生的入网工程建设费用，包含电气工程（线路、断路器、计量装置等）费用和土建工程（线路通道、电缆沟渠、管廊等）费用，不包含用户提出的超标准报装或个性化需求等延伸服务费用。</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2.电力接入工程费用划分。由供电企业承担的部分，纳入企业经营成本；按规定由属地政府承担的部分，属地政府应组织建设并及时拨款。</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楷体_GB2312" w:hAnsi="楷体_GB2312" w:eastAsia="楷体_GB2312" w:cs="楷体_GB2312"/>
          <w:color w:val="auto"/>
          <w:sz w:val="32"/>
          <w:szCs w:val="32"/>
          <w:highlight w:val="none"/>
          <w:lang w:val="en-US" w:eastAsia="zh-CN" w:bidi="ar-SA"/>
        </w:rPr>
      </w:pPr>
      <w:r>
        <w:rPr>
          <w:rFonts w:hint="eastAsia" w:ascii="楷体_GB2312" w:hAnsi="楷体_GB2312" w:eastAsia="楷体_GB2312" w:cs="楷体_GB2312"/>
          <w:color w:val="auto"/>
          <w:sz w:val="32"/>
          <w:szCs w:val="32"/>
          <w:highlight w:val="none"/>
          <w:lang w:val="en-US" w:eastAsia="zh-CN" w:bidi="ar-SA"/>
        </w:rPr>
        <w:t>（三）电力接入工程范围</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低压用户电力接入工程范围为低压电能表至公共管网连接处的电力工程；高压用户从电缆线路电源点接入，工程范围为建筑区划红线处开关（环网）站至公共管网连接处的电力工程；高压用户从架空线路电源点接入，工程范围为建筑区划红线处至公共管网连接处的电力工程。结合现实因素红线处难以落地电源点的，架空线路投资到用户建筑区划红线外最近一基杆塔或将电缆线路投资到最近一级环网柜（分支箱），电源点距建筑区划红线处直线距离不超过100米，特殊情况需供电企业与用户共同协商确定。</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黑体"/>
          <w:color w:val="auto"/>
          <w:sz w:val="32"/>
          <w:szCs w:val="32"/>
          <w:highlight w:val="none"/>
          <w:lang w:val="en-US" w:eastAsia="zh-CN" w:bidi="ar-SA"/>
        </w:rPr>
      </w:pPr>
      <w:bookmarkStart w:id="6" w:name="_Toc27444"/>
      <w:bookmarkStart w:id="7" w:name="_Toc24880"/>
      <w:bookmarkStart w:id="8" w:name="_Toc16545"/>
      <w:bookmarkStart w:id="9" w:name="OLE_LINK94"/>
      <w:r>
        <w:rPr>
          <w:rFonts w:hint="eastAsia" w:ascii="黑体" w:hAnsi="黑体" w:eastAsia="黑体" w:cs="黑体"/>
          <w:color w:val="auto"/>
          <w:sz w:val="32"/>
          <w:szCs w:val="32"/>
          <w:highlight w:val="none"/>
          <w:lang w:val="en-US" w:eastAsia="zh-CN" w:bidi="ar-SA"/>
        </w:rPr>
        <w:t>二、费用分担原则</w:t>
      </w:r>
      <w:bookmarkEnd w:id="6"/>
      <w:bookmarkEnd w:id="7"/>
      <w:bookmarkEnd w:id="8"/>
    </w:p>
    <w:bookmarkEnd w:id="9"/>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电力接入工程区分低压项目、储备土地项目和除前两类外的其他类项目三类。由供电企业承担的电力接入工程费用，由供电企业负责筹措解决；政府委托供电企业建设的电力接入工程或土建工程，由政府负责筹措解决。拨付流程按照属地政府投资项目有关规定及供电企业工程管理相关要求协商确定。</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一）低压接入工程部分由供电企业承担。具体建设流程按照供电企业内部工程项目要求进行投资管理。属地政府及园区管委会要为工程施工提供便利，对涉及的城市道路占用、挖掘修复、绿化、迁移等费用通过“一事一议”的方式商定，对工程受阻给予协调。</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（二）与储备土地相关的电力接入工程费纳入土地储备成本，不得由供电企业和用户负担。由土地储备管理主体负责统筹协调将电力接入费用列入土地储备项目投资预算，并可按规定纳入项目储备成本。</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bookmarkStart w:id="10" w:name="OLE_LINK95"/>
      <w:r>
        <w:rPr>
          <w:rFonts w:hint="eastAsia" w:ascii="仿宋_GB2312" w:hAnsi="仿宋_GB2312" w:eastAsia="仿宋_GB2312" w:cs="仿宋_GB2312"/>
          <w:color w:val="auto"/>
          <w:sz w:val="32"/>
          <w:szCs w:val="32"/>
          <w:highlight w:val="none"/>
          <w:lang w:val="en-US" w:eastAsia="zh-CN" w:bidi="ar-SA"/>
        </w:rPr>
        <w:t>（三）除</w:t>
      </w:r>
      <w:bookmarkStart w:id="11" w:name="OLE_LINK126"/>
      <w:r>
        <w:rPr>
          <w:rFonts w:hint="eastAsia" w:ascii="仿宋_GB2312" w:hAnsi="仿宋_GB2312" w:eastAsia="仿宋_GB2312" w:cs="仿宋_GB2312"/>
          <w:color w:val="auto"/>
          <w:sz w:val="32"/>
          <w:szCs w:val="32"/>
          <w:highlight w:val="none"/>
          <w:lang w:val="en-US" w:eastAsia="zh-CN" w:bidi="ar-SA"/>
        </w:rPr>
        <w:t>以</w:t>
      </w:r>
      <w:bookmarkStart w:id="12" w:name="OLE_LINK97"/>
      <w:r>
        <w:rPr>
          <w:rFonts w:hint="eastAsia" w:ascii="仿宋_GB2312" w:hAnsi="仿宋_GB2312" w:eastAsia="仿宋_GB2312" w:cs="仿宋_GB2312"/>
          <w:color w:val="auto"/>
          <w:sz w:val="32"/>
          <w:szCs w:val="32"/>
          <w:highlight w:val="none"/>
          <w:lang w:val="en-US" w:eastAsia="zh-CN" w:bidi="ar-SA"/>
        </w:rPr>
        <w:t>上两类外的电压等级用户电力接入工程，由供电企业承担电气工程投资，属地政府负责投资建设线路通道、电缆管廊及管线等设施。</w:t>
      </w:r>
      <w:bookmarkEnd w:id="11"/>
      <w:bookmarkEnd w:id="12"/>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（四）</w:t>
      </w:r>
      <w:bookmarkStart w:id="13" w:name="OLE_LINK127"/>
      <w:r>
        <w:rPr>
          <w:rFonts w:hint="eastAsia" w:ascii="仿宋_GB2312" w:hAnsi="仿宋_GB2312" w:eastAsia="仿宋_GB2312" w:cs="仿宋_GB2312"/>
          <w:color w:val="auto"/>
          <w:sz w:val="32"/>
          <w:szCs w:val="32"/>
          <w:highlight w:val="none"/>
          <w:lang w:val="en-US" w:eastAsia="zh-CN" w:bidi="ar-SA"/>
        </w:rPr>
        <w:t>对于2021年3月1日后符合延伸投资的，且接网工程已由客户投资建设的工程，</w:t>
      </w:r>
      <w:bookmarkEnd w:id="13"/>
      <w:r>
        <w:rPr>
          <w:rFonts w:hint="eastAsia" w:ascii="仿宋_GB2312" w:hAnsi="仿宋_GB2312" w:eastAsia="仿宋_GB2312" w:cs="仿宋_GB2312"/>
          <w:color w:val="auto"/>
          <w:sz w:val="32"/>
          <w:szCs w:val="32"/>
          <w:highlight w:val="none"/>
          <w:lang w:val="en-US" w:eastAsia="zh-CN" w:bidi="ar-SA"/>
        </w:rPr>
        <w:t>依据用户申请，按照投资分担界面分别明确补偿方案，在对客户工程进行评估后，建立补偿清退台账，完成补偿及产权移交工作。</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（五）成本标准。土地储备项目电力接入工程费用建设标准参照《内蒙古自治区建设工程费用定额》（土建部分）、《内蒙古自治区通用安装工程预算定额》（电气部分）测算，按照工程审价结算纳入项目成本。</w:t>
      </w:r>
    </w:p>
    <w:bookmarkEnd w:id="10"/>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黑体"/>
          <w:color w:val="auto"/>
          <w:sz w:val="32"/>
          <w:szCs w:val="32"/>
          <w:highlight w:val="none"/>
          <w:lang w:val="en-US" w:eastAsia="zh-CN" w:bidi="ar-SA"/>
        </w:rPr>
      </w:pPr>
      <w:bookmarkStart w:id="14" w:name="_Toc20699"/>
      <w:bookmarkStart w:id="15" w:name="_Toc3443"/>
      <w:bookmarkStart w:id="16" w:name="_Toc6925"/>
      <w:r>
        <w:rPr>
          <w:rFonts w:hint="eastAsia" w:ascii="黑体" w:hAnsi="黑体" w:eastAsia="黑体" w:cs="黑体"/>
          <w:color w:val="auto"/>
          <w:sz w:val="32"/>
          <w:szCs w:val="32"/>
          <w:highlight w:val="none"/>
          <w:lang w:val="en-US" w:eastAsia="zh-CN" w:bidi="ar-SA"/>
        </w:rPr>
        <w:t>三、</w:t>
      </w:r>
      <w:bookmarkEnd w:id="14"/>
      <w:bookmarkEnd w:id="15"/>
      <w:bookmarkEnd w:id="16"/>
      <w:r>
        <w:rPr>
          <w:rFonts w:hint="eastAsia" w:ascii="黑体" w:hAnsi="黑体" w:eastAsia="黑体" w:cs="黑体"/>
          <w:color w:val="auto"/>
          <w:sz w:val="32"/>
          <w:szCs w:val="32"/>
          <w:highlight w:val="none"/>
          <w:lang w:val="en-US" w:eastAsia="zh-CN" w:bidi="ar-SA"/>
        </w:rPr>
        <w:t>职责分工</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市能源局发挥电力接入工程费用分担牵头推动作用，着力完善费用分担机制；市财政局做好市政府负责的电力接入工程资金保障工作；市市场监督管理局组织市场价格监管和反垄断执法，着力查处价格违法违规行为；市自然资源局配合做好市政配套基础设施规划管理工作；市住房和城乡建设局持续强化市政基础设施建设领域公平开放，推动有序竞争。</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黑体"/>
          <w:color w:val="auto"/>
          <w:sz w:val="32"/>
          <w:szCs w:val="32"/>
          <w:highlight w:val="none"/>
          <w:lang w:val="en-US" w:eastAsia="zh-CN" w:bidi="ar-SA"/>
        </w:rPr>
      </w:pPr>
      <w:bookmarkStart w:id="17" w:name="_Toc1699"/>
      <w:bookmarkStart w:id="18" w:name="_Toc16622"/>
      <w:bookmarkStart w:id="19" w:name="_Toc19062"/>
      <w:r>
        <w:rPr>
          <w:rFonts w:hint="eastAsia" w:ascii="黑体" w:hAnsi="黑体" w:eastAsia="黑体" w:cs="黑体"/>
          <w:color w:val="auto"/>
          <w:sz w:val="32"/>
          <w:szCs w:val="32"/>
          <w:highlight w:val="none"/>
          <w:lang w:val="en-US" w:eastAsia="zh-CN" w:bidi="ar-SA"/>
        </w:rPr>
        <w:t>四、实施流程</w:t>
      </w:r>
      <w:bookmarkEnd w:id="17"/>
      <w:bookmarkEnd w:id="18"/>
      <w:bookmarkEnd w:id="19"/>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楷体_GB2312" w:hAnsi="楷体_GB2312" w:eastAsia="楷体_GB2312" w:cs="楷体_GB2312"/>
          <w:color w:val="auto"/>
          <w:sz w:val="32"/>
          <w:szCs w:val="32"/>
          <w:highlight w:val="none"/>
          <w:lang w:val="en-US" w:eastAsia="zh-CN" w:bidi="ar-SA"/>
        </w:rPr>
      </w:pPr>
      <w:r>
        <w:rPr>
          <w:rFonts w:hint="eastAsia" w:ascii="楷体_GB2312" w:hAnsi="楷体_GB2312" w:eastAsia="楷体_GB2312" w:cs="楷体_GB2312"/>
          <w:color w:val="auto"/>
          <w:sz w:val="32"/>
          <w:szCs w:val="32"/>
          <w:highlight w:val="none"/>
          <w:lang w:val="en-US" w:eastAsia="zh-CN" w:bidi="ar-SA"/>
        </w:rPr>
        <w:t>（一）低压电力接入工程</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由供电企业负责出资建设，投资到用户建筑区划红线，具体建设流程按照供电企业内部工程项目要求进行管理。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楷体_GB2312" w:hAnsi="楷体_GB2312" w:eastAsia="楷体_GB2312" w:cs="楷体_GB2312"/>
          <w:color w:val="auto"/>
          <w:sz w:val="32"/>
          <w:szCs w:val="32"/>
          <w:highlight w:val="none"/>
          <w:lang w:val="en-US" w:eastAsia="zh-CN" w:bidi="ar-SA"/>
        </w:rPr>
      </w:pPr>
      <w:r>
        <w:rPr>
          <w:rFonts w:hint="eastAsia" w:ascii="楷体_GB2312" w:hAnsi="楷体_GB2312" w:eastAsia="楷体_GB2312" w:cs="楷体_GB2312"/>
          <w:color w:val="auto"/>
          <w:sz w:val="32"/>
          <w:szCs w:val="32"/>
          <w:highlight w:val="none"/>
          <w:lang w:val="en-US" w:eastAsia="zh-CN" w:bidi="ar-SA"/>
        </w:rPr>
        <w:t>（二）储备土地电力接入工程</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bookmarkStart w:id="20" w:name="OLE_LINK1"/>
      <w:r>
        <w:rPr>
          <w:rFonts w:hint="eastAsia" w:ascii="仿宋_GB2312" w:hAnsi="仿宋_GB2312" w:eastAsia="仿宋_GB2312" w:cs="仿宋_GB2312"/>
          <w:color w:val="auto"/>
          <w:sz w:val="32"/>
          <w:szCs w:val="32"/>
          <w:highlight w:val="none"/>
          <w:lang w:val="en-US" w:eastAsia="zh-CN" w:bidi="ar-SA"/>
        </w:rPr>
        <w:t>储备土地电力接入工程纳入政府投资项目管理，由土地储备（征收）管理主体负责统筹协调将电力接入费用列入土地储备（征收）项目投资预算，并可按规定纳入项目储备成本。储备土地项目应进行必要的前期开发建设，完善与地块相关的供电配套基础设施建设方案，保证工程建设资金，确保供电相关市政配套基础设施与建设项目同步使用。</w:t>
      </w:r>
    </w:p>
    <w:bookmarkEnd w:id="20"/>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1.项目启动。储备土地出让或划拨前，需要提前进行电力建设的，土地储备（征收）管理主体应及时告知供电企业。供电企业结合项目落地区块电力接入现状，统筹考虑区域电网建设规划，根据项目终期用电规模出具电网接入方案、电气工程图纸和概（预）算书，并提交给土地储备（征收）管理主体。</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2.资金拨付。土地储备（征收）管理主体收到供电企业提交的资料后，及时开展配套土建工程设计和编制概（预）算书。电气工程及土建工程概（预）算经属地政府批准后，土地储备（征收）管理主体依据批复安排资金计划，并按照规定程序拨付。</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3.接入工程建设。土地储备（征收）管理主体履行内部工程项目管理流程，组织开展工程建设及工程竣工结算。工程决算后，具备移交条件的，土地储备（征收）管理主体组织对供配电设施移交至供电企业，由供电企业承担建成后的维修、养护、升级、改造等费用。</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楷体_GB2312" w:hAnsi="楷体_GB2312" w:eastAsia="楷体_GB2312" w:cs="楷体_GB2312"/>
          <w:color w:val="auto"/>
          <w:sz w:val="32"/>
          <w:szCs w:val="32"/>
          <w:highlight w:val="none"/>
          <w:lang w:val="en-US" w:eastAsia="zh-CN" w:bidi="ar-SA"/>
        </w:rPr>
      </w:pPr>
      <w:bookmarkStart w:id="21" w:name="OLE_LINK131"/>
      <w:r>
        <w:rPr>
          <w:rFonts w:hint="eastAsia" w:ascii="楷体_GB2312" w:hAnsi="楷体_GB2312" w:eastAsia="楷体_GB2312" w:cs="楷体_GB2312"/>
          <w:color w:val="auto"/>
          <w:sz w:val="32"/>
          <w:szCs w:val="32"/>
          <w:highlight w:val="none"/>
          <w:lang w:val="en-US" w:eastAsia="zh-CN" w:bidi="ar-SA"/>
        </w:rPr>
        <w:t>（三）</w:t>
      </w:r>
      <w:bookmarkStart w:id="22" w:name="OLE_LINK130"/>
      <w:r>
        <w:rPr>
          <w:rFonts w:hint="eastAsia" w:ascii="楷体_GB2312" w:hAnsi="楷体_GB2312" w:eastAsia="楷体_GB2312" w:cs="楷体_GB2312"/>
          <w:color w:val="auto"/>
          <w:sz w:val="32"/>
          <w:szCs w:val="32"/>
          <w:highlight w:val="none"/>
          <w:lang w:val="en-US" w:eastAsia="zh-CN" w:bidi="ar-SA"/>
        </w:rPr>
        <w:t>其他类电力接入工程</w:t>
      </w:r>
      <w:bookmarkEnd w:id="22"/>
    </w:p>
    <w:bookmarkEnd w:id="21"/>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除上述两类工程外，其他类电力接入工程由属地政府出资并负责建设电缆管廊及管线等土建部分，供电企业建设电气部分。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1.土建部分。接到用户用电申请后，供电企业根据项目规模初步出具电网接入方案，并提交给属地政府。属地政府及时委托有资质的建设单位开展配套土建部分设计和编制概（预）算书，经财政评审后安排资金计划。建设单位履行内部工程项目管理流程，组织开展工程建设，确保在规划设计、施工监理、验收交付等环节满足国家及行业标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2.电气部分。由供电企业负责出资建设，投资到用户建筑区划红线，具体建设流程按照供电企业内部工程项目要求进行管理。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楷体_GB2312" w:hAnsi="楷体_GB2312" w:eastAsia="楷体_GB2312" w:cs="楷体_GB2312"/>
          <w:color w:val="auto"/>
          <w:sz w:val="32"/>
          <w:szCs w:val="32"/>
          <w:highlight w:val="none"/>
          <w:lang w:val="en-US" w:eastAsia="zh-CN" w:bidi="ar-SA"/>
        </w:rPr>
      </w:pPr>
      <w:bookmarkStart w:id="23" w:name="_Toc428"/>
      <w:bookmarkStart w:id="24" w:name="_Toc25051"/>
      <w:bookmarkStart w:id="25" w:name="_Toc253"/>
      <w:r>
        <w:rPr>
          <w:rFonts w:hint="eastAsia" w:ascii="楷体_GB2312" w:hAnsi="楷体_GB2312" w:eastAsia="楷体_GB2312" w:cs="楷体_GB2312"/>
          <w:color w:val="auto"/>
          <w:sz w:val="32"/>
          <w:szCs w:val="32"/>
          <w:highlight w:val="none"/>
          <w:lang w:val="en-US" w:eastAsia="zh-CN" w:bidi="ar-SA"/>
        </w:rPr>
        <w:t>（四）电源点及电力管廊建设工程</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土地出让或划拨前，各级政府或政府指定单位应预留电源点（开关站）的建设用地，新建市政道路时，协同供电公司同步规划和建设电力管廊，完成周边城市道路的建设、城市管线接至建筑区划红线。特殊情况下，出让前不能完成电力接入工程的，各级政府或政府指定单位应会同供电企业制定电力接入计划，并明确竣工日期。</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黑体"/>
          <w:color w:val="auto"/>
          <w:sz w:val="32"/>
          <w:szCs w:val="32"/>
          <w:highlight w:val="none"/>
          <w:lang w:val="en-US" w:eastAsia="zh-CN" w:bidi="ar-SA"/>
        </w:rPr>
      </w:pPr>
      <w:r>
        <w:rPr>
          <w:rFonts w:hint="eastAsia" w:ascii="黑体" w:hAnsi="黑体" w:eastAsia="黑体" w:cs="黑体"/>
          <w:color w:val="auto"/>
          <w:sz w:val="32"/>
          <w:szCs w:val="32"/>
          <w:highlight w:val="none"/>
          <w:lang w:val="en-US" w:eastAsia="zh-CN" w:bidi="ar-SA"/>
        </w:rPr>
        <w:t>五、有关要求</w:t>
      </w:r>
      <w:bookmarkEnd w:id="23"/>
      <w:bookmarkEnd w:id="24"/>
      <w:bookmarkEnd w:id="25"/>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各地区结合实际制定具体实施方案，对于政府委托供电企业建设的电力接入工程或土建工程，明确资金拨付批次及比例，按照工程进度及时拨付政府资金，确保工程按期完成。拨付流程按照属地政府投资项目有关规定及供</w:t>
      </w:r>
      <w:r>
        <w:rPr>
          <w:rFonts w:hint="eastAsia" w:ascii="仿宋_GB2312" w:hAnsi="仿宋_GB2312" w:eastAsia="仿宋_GB2312" w:cs="仿宋_GB2312"/>
          <w:sz w:val="32"/>
          <w:szCs w:val="32"/>
          <w:highlight w:val="none"/>
          <w:lang w:val="en-US" w:eastAsia="zh-CN" w:bidi="ar-SA"/>
        </w:rPr>
        <w:t>电企业工程管理相关要求采取“一事一议”的方式协商确定。</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黑体"/>
          <w:sz w:val="32"/>
          <w:szCs w:val="32"/>
          <w:highlight w:val="none"/>
          <w:lang w:val="en-US" w:eastAsia="zh-CN" w:bidi="ar-SA"/>
        </w:rPr>
      </w:pPr>
      <w:bookmarkStart w:id="26" w:name="_Toc15314"/>
      <w:bookmarkStart w:id="27" w:name="_Toc29033"/>
      <w:bookmarkStart w:id="28" w:name="_Toc2469"/>
      <w:r>
        <w:rPr>
          <w:rFonts w:hint="eastAsia" w:ascii="黑体" w:hAnsi="黑体" w:eastAsia="黑体" w:cs="黑体"/>
          <w:sz w:val="32"/>
          <w:szCs w:val="32"/>
          <w:highlight w:val="none"/>
          <w:lang w:val="en-US" w:eastAsia="zh-CN" w:bidi="ar-SA"/>
        </w:rPr>
        <w:t>六、附则</w:t>
      </w:r>
      <w:bookmarkEnd w:id="26"/>
      <w:bookmarkEnd w:id="27"/>
      <w:bookmarkEnd w:id="28"/>
    </w:p>
    <w:p>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highlight w:val="none"/>
        </w:rPr>
      </w:pPr>
      <w:r>
        <w:rPr>
          <w:rFonts w:hint="eastAsia" w:ascii="仿宋_GB2312" w:hAnsi="仿宋_GB2312" w:eastAsia="仿宋_GB2312" w:cs="仿宋_GB2312"/>
          <w:sz w:val="32"/>
          <w:szCs w:val="32"/>
          <w:highlight w:val="none"/>
          <w:lang w:val="en-US" w:eastAsia="zh-CN" w:bidi="ar-SA"/>
        </w:rPr>
        <w:t>本实施方案如与上级相关文件有不一致之处，以上级相关文件为准，本实施方案自印发之日起施行</w:t>
      </w:r>
      <w:r>
        <w:rPr>
          <w:rFonts w:hint="eastAsia" w:ascii="仿宋_GB2312" w:hAnsi="仿宋_GB2312" w:eastAsia="仿宋_GB2312" w:cs="仿宋_GB2312"/>
          <w:sz w:val="32"/>
          <w:szCs w:val="32"/>
          <w:highlight w:val="none"/>
          <w:lang w:val="en-US" w:eastAsia="zh-CN"/>
        </w:rPr>
        <w:t>。</w:t>
      </w:r>
      <w:bookmarkEnd w:id="5"/>
      <w:bookmarkStart w:id="29" w:name="_GoBack"/>
      <w:bookmarkEnd w:id="29"/>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000000"/>
          <w:spacing w:val="11"/>
          <w:sz w:val="32"/>
          <w:szCs w:val="32"/>
          <w:shd w:val="clear" w:color="auto" w:fill="FFFFFF"/>
          <w:lang w:val="en-US" w:eastAsia="zh-CN"/>
        </w:rPr>
      </w:pPr>
      <w:r>
        <w:rPr>
          <w:rFonts w:hint="eastAsia" w:ascii="仿宋_GB2312" w:hAnsi="仿宋_GB2312" w:eastAsia="仿宋_GB2312" w:cs="仿宋_GB2312"/>
          <w:b w:val="0"/>
          <w:bCs w:val="0"/>
          <w:color w:val="000000"/>
          <w:sz w:val="28"/>
          <w:szCs w:val="28"/>
          <w:shd w:val="clear" w:color="auto" w:fill="FFFFFF"/>
          <w:lang w:val="en-US" w:eastAsia="zh-CN"/>
        </w:rPr>
        <w:t xml:space="preserve"> </w:t>
      </w:r>
    </w:p>
    <w:p/>
    <w:sectPr>
      <w:footerReference r:id="rId5" w:type="first"/>
      <w:footerReference r:id="rId3" w:type="default"/>
      <w:footerReference r:id="rId4" w:type="even"/>
      <w:pgSz w:w="11906" w:h="16838"/>
      <w:pgMar w:top="1478" w:right="1919" w:bottom="1984" w:left="1587" w:header="851" w:footer="992" w:gutter="0"/>
      <w:pgBorders>
        <w:top w:val="none" w:sz="0" w:space="0"/>
        <w:left w:val="none" w:sz="0" w:space="0"/>
        <w:bottom w:val="none" w:sz="0" w:space="0"/>
        <w:right w:val="none" w:sz="0" w:space="0"/>
      </w:pgBorders>
      <w:pgNumType w:fmt="numberInDash" w:start="1"/>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文泉驿微米黑">
    <w:altName w:val="黑体"/>
    <w:panose1 w:val="020B0606030804020204"/>
    <w:charset w:val="00"/>
    <w:family w:val="auto"/>
    <w:pitch w:val="default"/>
    <w:sig w:usb0="00000000" w:usb1="00000000" w:usb2="00800036" w:usb3="00000000" w:csb0="603E019F" w:csb1="DFD7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keepNext w:val="0"/>
                            <w:keepLines w:val="0"/>
                            <w:pageBreakBefore w:val="0"/>
                            <w:widowControl w:val="0"/>
                            <w:kinsoku/>
                            <w:wordWrap/>
                            <w:overflowPunct/>
                            <w:topLinePunct w:val="0"/>
                            <w:autoSpaceDE/>
                            <w:autoSpaceDN/>
                            <w:bidi w:val="0"/>
                            <w:adjustRightInd/>
                            <w:snapToGrid w:val="0"/>
                            <w:ind w:right="420" w:rightChars="200"/>
                            <w:textAlignment w:val="auto"/>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p>
                      </w:txbxContent>
                    </wps:txbx>
                    <wps:bodyPr vert="horz" wrap="none" lIns="0" tIns="0" rIns="0" bIns="0" anchor="t" anchorCtr="0" upright="0">
                      <a:spAutoFit/>
                    </wps:bodyPr>
                  </wps:wsp>
                </a:graphicData>
              </a:graphic>
            </wp:anchor>
          </w:drawing>
        </mc:Choice>
        <mc:Fallback>
          <w:pict>
            <v:shape id="文本框 31"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zql5uc8AAAAFAQAADwAAAAAAAAABACAAAAA4AAAAZHJzL2Rvd25yZXYueG1sUEsBAhQAFAAAAAgA&#10;h07iQLb6rKffAQAAvwMAAA4AAAAAAAAAAQAgAAAANAEAAGRycy9lMm9Eb2MueG1sUEsFBgAAAAAG&#10;AAYAWQEAAIUFAAAAAA==&#10;">
              <v:fill on="f" focussize="0,0"/>
              <v:stroke on="f"/>
              <v:imagedata o:title=""/>
              <o:lock v:ext="edit" aspectratio="f"/>
              <v:textbox inset="0mm,0mm,0mm,0mm" style="mso-fit-shape-to-text:t;">
                <w:txbxContent>
                  <w:p>
                    <w:pPr>
                      <w:pStyle w:val="6"/>
                      <w:keepNext w:val="0"/>
                      <w:keepLines w:val="0"/>
                      <w:pageBreakBefore w:val="0"/>
                      <w:widowControl w:val="0"/>
                      <w:kinsoku/>
                      <w:wordWrap/>
                      <w:overflowPunct/>
                      <w:topLinePunct w:val="0"/>
                      <w:autoSpaceDE/>
                      <w:autoSpaceDN/>
                      <w:bidi w:val="0"/>
                      <w:adjustRightInd/>
                      <w:snapToGrid w:val="0"/>
                      <w:ind w:right="420" w:rightChars="200"/>
                      <w:textAlignment w:val="auto"/>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keepNext w:val="0"/>
                            <w:keepLines w:val="0"/>
                            <w:pageBreakBefore w:val="0"/>
                            <w:widowControl w:val="0"/>
                            <w:kinsoku/>
                            <w:wordWrap/>
                            <w:overflowPunct/>
                            <w:topLinePunct w:val="0"/>
                            <w:autoSpaceDE/>
                            <w:autoSpaceDN/>
                            <w:bidi w:val="0"/>
                            <w:adjustRightInd/>
                            <w:snapToGrid w:val="0"/>
                            <w:ind w:left="420" w:leftChars="200"/>
                            <w:textAlignment w:val="auto"/>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- 2 -</w:t>
                          </w:r>
                          <w:r>
                            <w:rPr>
                              <w:rFonts w:hint="eastAsia" w:ascii="宋体" w:hAnsi="宋体" w:eastAsia="宋体" w:cs="宋体"/>
                            </w:rPr>
                            <w:fldChar w:fldCharType="end"/>
                          </w:r>
                        </w:p>
                      </w:txbxContent>
                    </wps:txbx>
                    <wps:bodyPr vert="horz" wrap="none" lIns="0" tIns="0" rIns="0" bIns="0" anchor="t" anchorCtr="0" upright="0">
                      <a:spAutoFit/>
                    </wps:bodyPr>
                  </wps:wsp>
                </a:graphicData>
              </a:graphic>
            </wp:anchor>
          </w:drawing>
        </mc:Choice>
        <mc:Fallback>
          <w:pict>
            <v:shape id="文本框 32"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zql5uc8AAAAFAQAADwAAAAAAAAABACAAAAA4AAAAZHJzL2Rvd25yZXYueG1sUEsBAhQAFAAAAAgA&#10;h07iQMA3bAjfAQAAvwMAAA4AAAAAAAAAAQAgAAAANAEAAGRycy9lMm9Eb2MueG1sUEsFBgAAAAAG&#10;AAYAWQEAAIUFAAAAAA==&#10;">
              <v:fill on="f" focussize="0,0"/>
              <v:stroke on="f"/>
              <v:imagedata o:title=""/>
              <o:lock v:ext="edit" aspectratio="f"/>
              <v:textbox inset="0mm,0mm,0mm,0mm" style="mso-fit-shape-to-text:t;">
                <w:txbxContent>
                  <w:p>
                    <w:pPr>
                      <w:pStyle w:val="6"/>
                      <w:keepNext w:val="0"/>
                      <w:keepLines w:val="0"/>
                      <w:pageBreakBefore w:val="0"/>
                      <w:widowControl w:val="0"/>
                      <w:kinsoku/>
                      <w:wordWrap/>
                      <w:overflowPunct/>
                      <w:topLinePunct w:val="0"/>
                      <w:autoSpaceDE/>
                      <w:autoSpaceDN/>
                      <w:bidi w:val="0"/>
                      <w:adjustRightInd/>
                      <w:snapToGrid w:val="0"/>
                      <w:ind w:left="420" w:leftChars="200"/>
                      <w:textAlignment w:val="auto"/>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- 2 -</w:t>
                    </w:r>
                    <w:r>
                      <w:rPr>
                        <w:rFonts w:hint="eastAsia" w:ascii="宋体" w:hAnsi="宋体" w:eastAsia="宋体" w:cs="宋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9"/>
      <w:tblpPr w:leftFromText="181" w:rightFromText="181" w:vertAnchor="page" w:horzAnchor="page" w:tblpX="1700" w:tblpY="15393"/>
      <w:tblW w:w="8840" w:type="dxa"/>
      <w:jc w:val="center"/>
      <w:tblBorders>
        <w:top w:val="none" w:color="auto" w:sz="0" w:space="0"/>
        <w:left w:val="none" w:color="auto" w:sz="0" w:space="0"/>
        <w:bottom w:val="single" w:color="FF0000" w:sz="36" w:space="0"/>
        <w:right w:val="none" w:color="auto" w:sz="0" w:space="0"/>
        <w:insideH w:val="none" w:color="auto" w:sz="0" w:space="0"/>
        <w:insideV w:val="single" w:color="FF0000" w:sz="36" w:space="0"/>
      </w:tblBorders>
      <w:tblLayout w:type="fixed"/>
      <w:tblCellMar>
        <w:top w:w="0" w:type="dxa"/>
        <w:left w:w="108" w:type="dxa"/>
        <w:bottom w:w="0" w:type="dxa"/>
        <w:right w:w="108" w:type="dxa"/>
      </w:tblCellMar>
    </w:tblPr>
    <w:tblGrid>
      <w:gridCol w:w="8840"/>
    </w:tblGrid>
    <w:tr>
      <w:tblPrEx>
        <w:tblBorders>
          <w:top w:val="none" w:color="auto" w:sz="0" w:space="0"/>
          <w:left w:val="none" w:color="auto" w:sz="0" w:space="0"/>
          <w:bottom w:val="single" w:color="FF0000" w:sz="36" w:space="0"/>
          <w:right w:val="none" w:color="auto" w:sz="0" w:space="0"/>
          <w:insideH w:val="none" w:color="auto" w:sz="0" w:space="0"/>
          <w:insideV w:val="single" w:color="FF0000" w:sz="36" w:space="0"/>
        </w:tblBorders>
      </w:tblPrEx>
      <w:trPr>
        <w:cantSplit/>
        <w:trHeight w:val="91" w:hRule="exact"/>
        <w:jc w:val="center"/>
      </w:trPr>
      <w:tc>
        <w:tcPr>
          <w:tcW w:w="8840" w:type="dxa"/>
          <w:tcBorders>
            <w:top w:val="single" w:color="FF0000" w:sz="12"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仿宋" w:hAnsi="仿宋" w:eastAsia="宋体" w:cs="仿宋"/>
              <w:b w:val="0"/>
              <w:bCs w:val="0"/>
              <w:color w:val="FFFFFF"/>
              <w:sz w:val="32"/>
              <w:szCs w:val="32"/>
              <w:lang w:val="en-US" w:eastAsia="zh-CN"/>
            </w:rPr>
          </w:pPr>
          <w:r>
            <w:rPr>
              <w:rFonts w:hint="default"/>
              <w:color w:val="FFFFFF"/>
              <w:sz w:val="2"/>
              <w:szCs w:val="2"/>
              <w:lang w:val="en-US"/>
            </w:rPr>
            <mc:AlternateContent>
              <mc:Choice Requires="wps">
                <w:drawing>
                  <wp:anchor distT="0" distB="0" distL="114300" distR="114300" simplePos="0" relativeHeight="251660288" behindDoc="1" locked="0" layoutInCell="1" allowOverlap="1">
                    <wp:simplePos x="0" y="0"/>
                    <wp:positionH relativeFrom="margin">
                      <wp:posOffset>4749165</wp:posOffset>
                    </wp:positionH>
                    <wp:positionV relativeFrom="page">
                      <wp:posOffset>157480</wp:posOffset>
                    </wp:positionV>
                    <wp:extent cx="635" cy="635"/>
                    <wp:effectExtent l="0" t="0" r="0" b="0"/>
                    <wp:wrapNone/>
                    <wp:docPr id="2" name="文本框 34"/>
                    <wp:cNvGraphicFramePr/>
                    <a:graphic xmlns:a="http://schemas.openxmlformats.org/drawingml/2006/main">
                      <a:graphicData uri="http://schemas.microsoft.com/office/word/2010/wordprocessingShape">
                        <wps:wsp>
                          <wps:cNvSpPr txBox="1"/>
                          <wps:spPr>
                            <a:xfrm>
                              <a:off x="0" y="0"/>
                              <a:ext cx="635" cy="635"/>
                            </a:xfrm>
                            <a:prstGeom prst="rect">
                              <a:avLst/>
                            </a:prstGeom>
                            <a:solidFill>
                              <a:srgbClr val="FFFFFF">
                                <a:alpha val="0"/>
                              </a:srgbClr>
                            </a:solidFill>
                            <a:ln>
                              <a:noFill/>
                            </a:ln>
                          </wps:spPr>
                          <wps:txbx>
                            <w:txbxContent>
                              <w:p>
                                <w:pPr>
                                  <w:pStyle w:val="6"/>
                                  <w:rPr>
                                    <w:color w:val="000000"/>
                                  </w:rPr>
                                </w:pPr>
                                <w:r>
                                  <w:rPr>
                                    <w:color w:val="000000"/>
                                  </w:rPr>
                                  <w:t xml:space="preserve">— </w:t>
                                </w:r>
                                <w:r>
                                  <w:rPr>
                                    <w:color w:val="000000"/>
                                  </w:rPr>
                                  <w:fldChar w:fldCharType="begin"/>
                                </w:r>
                                <w:r>
                                  <w:rPr>
                                    <w:color w:val="000000"/>
                                  </w:rPr>
                                  <w:instrText xml:space="preserve"> PAGE  \* MERGEFORMAT </w:instrText>
                                </w:r>
                                <w:r>
                                  <w:rPr>
                                    <w:color w:val="000000"/>
                                  </w:rPr>
                                  <w:fldChar w:fldCharType="separate"/>
                                </w:r>
                                <w:r>
                                  <w:rPr>
                                    <w:color w:val="000000"/>
                                  </w:rPr>
                                  <w:t>- 0 -</w:t>
                                </w:r>
                                <w:r>
                                  <w:rPr>
                                    <w:color w:val="000000"/>
                                  </w:rPr>
                                  <w:fldChar w:fldCharType="end"/>
                                </w:r>
                                <w:r>
                                  <w:rPr>
                                    <w:color w:val="000000"/>
                                  </w:rPr>
                                  <w:t xml:space="preserve"> —</w:t>
                                </w:r>
                              </w:p>
                            </w:txbxContent>
                          </wps:txbx>
                          <wps:bodyPr wrap="none" lIns="0" tIns="0" rIns="0" bIns="0" upright="1"/>
                        </wps:wsp>
                      </a:graphicData>
                    </a:graphic>
                  </wp:anchor>
                </w:drawing>
              </mc:Choice>
              <mc:Fallback>
                <w:pict>
                  <v:shape id="文本框 34" o:spid="_x0000_s1026" o:spt="202" type="#_x0000_t202" style="position:absolute;left:0pt;margin-left:373.95pt;margin-top:12.4pt;height:0.05pt;width:0.05pt;mso-position-horizontal-relative:margin;mso-position-vertical-relative:page;mso-wrap-style:none;z-index:-251656192;mso-width-relative:page;mso-height-relative:page;" fillcolor="#FFFFFF" filled="t" stroked="f" coordsize="21600,21600" o:gfxdata="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KOXPTDZAAAACQEAAA8AAAAAAAAAAQAgAAAAOAAAAGRycy9kb3ducmV2LnhtbFBLAQIU&#10;ABQAAAAIAIdO4kDzGs9I3AEAAL4DAAAOAAAAAAAAAAEAIAAAAD4BAABkcnMvZTJvRG9jLnhtbFBL&#10;BQYAAAAABgAGAFkBAACMBQAAAAA=&#10;">
                    <v:fill on="t" opacity="0f" focussize="0,0"/>
                    <v:stroke on="f"/>
                    <v:imagedata o:title=""/>
                    <o:lock v:ext="edit" aspectratio="f"/>
                    <v:textbox inset="0mm,0mm,0mm,0mm">
                      <w:txbxContent>
                        <w:p>
                          <w:pPr>
                            <w:pStyle w:val="6"/>
                            <w:rPr>
                              <w:color w:val="000000"/>
                            </w:rPr>
                          </w:pPr>
                          <w:r>
                            <w:rPr>
                              <w:color w:val="000000"/>
                            </w:rPr>
                            <w:t xml:space="preserve">— </w:t>
                          </w:r>
                          <w:r>
                            <w:rPr>
                              <w:color w:val="000000"/>
                            </w:rPr>
                            <w:fldChar w:fldCharType="begin"/>
                          </w:r>
                          <w:r>
                            <w:rPr>
                              <w:color w:val="000000"/>
                            </w:rPr>
                            <w:instrText xml:space="preserve"> PAGE  \* MERGEFORMAT </w:instrText>
                          </w:r>
                          <w:r>
                            <w:rPr>
                              <w:color w:val="000000"/>
                            </w:rPr>
                            <w:fldChar w:fldCharType="separate"/>
                          </w:r>
                          <w:r>
                            <w:rPr>
                              <w:color w:val="000000"/>
                            </w:rPr>
                            <w:t>- 0 -</w:t>
                          </w:r>
                          <w:r>
                            <w:rPr>
                              <w:color w:val="000000"/>
                            </w:rPr>
                            <w:fldChar w:fldCharType="end"/>
                          </w:r>
                          <w:r>
                            <w:rPr>
                              <w:color w:val="000000"/>
                            </w:rPr>
                            <w:t xml:space="preserve"> —</w:t>
                          </w:r>
                        </w:p>
                      </w:txbxContent>
                    </v:textbox>
                  </v:shape>
                </w:pict>
              </mc:Fallback>
            </mc:AlternateContent>
          </w:r>
        </w:p>
      </w:tc>
    </w:tr>
  </w:tbl>
  <w:p>
    <w:pPr>
      <w:pStyle w:val="6"/>
    </w:pPr>
    <w:r>
      <w:rPr>
        <w:sz w:val="2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635" cy="635"/>
              <wp:effectExtent l="0" t="0" r="0" b="0"/>
              <wp:wrapNone/>
              <wp:docPr id="5" name="文本框 33"/>
              <wp:cNvGraphicFramePr/>
              <a:graphic xmlns:a="http://schemas.openxmlformats.org/drawingml/2006/main">
                <a:graphicData uri="http://schemas.microsoft.com/office/word/2010/wordprocessingShape">
                  <wps:wsp>
                    <wps:cNvSpPr txBox="1"/>
                    <wps:spPr>
                      <a:xfrm>
                        <a:off x="0" y="0"/>
                        <a:ext cx="635" cy="635"/>
                      </a:xfrm>
                      <a:prstGeom prst="rect">
                        <a:avLst/>
                      </a:prstGeom>
                      <a:noFill/>
                      <a:ln>
                        <a:noFill/>
                      </a:ln>
                    </wps:spPr>
                    <wps:txbx>
                      <w:txbxContent>
                        <w:p>
                          <w:pPr>
                            <w:pStyle w:val="6"/>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wps:wsp>
                </a:graphicData>
              </a:graphic>
            </wp:anchor>
          </w:drawing>
        </mc:Choice>
        <mc:Fallback>
          <w:pict>
            <v:shape id="文本框 33" o:spid="_x0000_s1026" o:spt="202" type="#_x0000_t202" style="position:absolute;left:0pt;margin-top:0pt;height:0.05pt;width:0.05pt;mso-position-horizontal:outside;mso-position-horizontal-relative:margin;mso-wrap-style:none;z-index:251663360;mso-width-relative:page;mso-height-relative:page;" filled="f" stroked="f" coordsize="21600,21600" o:gfxdata="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DZTiWXMAAAA/wAAAA8AAAAA&#10;AAAAAQAgAAAAOAAAAGRycy9kb3ducmV2LnhtbFBLAQIUABQAAAAIAIdO4kAw6mgs0QEAAJ0DAAAO&#10;AAAAAAAAAAEAIAAAADEBAABkcnMvZTJvRG9jLnhtbFBLBQYAAAAABgAGAFkBAAB0BQAAAAA=&#10;">
              <v:fill on="f" focussize="0,0"/>
              <v:stroke on="f"/>
              <v:imagedata o:title=""/>
              <o:lock v:ext="edit" aspectratio="f"/>
              <v:textbox inset="0mm,0mm,0mm,0mm">
                <w:txbxContent>
                  <w:p>
                    <w:pPr>
                      <w:pStyle w:val="6"/>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revisionView w:markup="0"/>
  <w:documentProtection w:enforcement="0"/>
  <w:defaultTabStop w:val="419"/>
  <w:hyphenationZone w:val="360"/>
  <w:evenAndOddHeaders w:val="1"/>
  <w:drawingGridHorizontalSpacing w:val="148"/>
  <w:drawingGridVerticalSpacing w:val="317"/>
  <w:displayHorizontalDrawingGridEvery w:val="2"/>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hMDFkYWVhNTQ4MTQ2NTA2NWE5MzJiNzQ0OGEyMDAifQ=="/>
  </w:docVars>
  <w:rsids>
    <w:rsidRoot w:val="00000000"/>
    <w:rsid w:val="010073E9"/>
    <w:rsid w:val="03E05C76"/>
    <w:rsid w:val="03F070F9"/>
    <w:rsid w:val="04A96068"/>
    <w:rsid w:val="093B4988"/>
    <w:rsid w:val="093F51ED"/>
    <w:rsid w:val="0B284F1A"/>
    <w:rsid w:val="0B3934CE"/>
    <w:rsid w:val="0BA21048"/>
    <w:rsid w:val="0BA93502"/>
    <w:rsid w:val="0D3F0580"/>
    <w:rsid w:val="10163C52"/>
    <w:rsid w:val="119836EC"/>
    <w:rsid w:val="14BE6568"/>
    <w:rsid w:val="14F01574"/>
    <w:rsid w:val="16606956"/>
    <w:rsid w:val="1668710C"/>
    <w:rsid w:val="168B3820"/>
    <w:rsid w:val="18F27B86"/>
    <w:rsid w:val="19A7659B"/>
    <w:rsid w:val="1AF211D2"/>
    <w:rsid w:val="1C146065"/>
    <w:rsid w:val="1C7A08B3"/>
    <w:rsid w:val="1E4946EC"/>
    <w:rsid w:val="1E7F74DE"/>
    <w:rsid w:val="1F516B5B"/>
    <w:rsid w:val="200941DE"/>
    <w:rsid w:val="22843ED3"/>
    <w:rsid w:val="23240CDA"/>
    <w:rsid w:val="23E07262"/>
    <w:rsid w:val="24013925"/>
    <w:rsid w:val="248B798D"/>
    <w:rsid w:val="250A14D1"/>
    <w:rsid w:val="262670C1"/>
    <w:rsid w:val="27156AC9"/>
    <w:rsid w:val="27AC7A16"/>
    <w:rsid w:val="2C216ECA"/>
    <w:rsid w:val="2F436F36"/>
    <w:rsid w:val="30D05200"/>
    <w:rsid w:val="310D3357"/>
    <w:rsid w:val="31DC69F2"/>
    <w:rsid w:val="33306488"/>
    <w:rsid w:val="359C1E05"/>
    <w:rsid w:val="359E2391"/>
    <w:rsid w:val="35A818A1"/>
    <w:rsid w:val="3A9B552C"/>
    <w:rsid w:val="3AC23405"/>
    <w:rsid w:val="3B1E43B3"/>
    <w:rsid w:val="3B5937C8"/>
    <w:rsid w:val="3BB73BBF"/>
    <w:rsid w:val="3D80091D"/>
    <w:rsid w:val="3EDC6A5F"/>
    <w:rsid w:val="3F421C51"/>
    <w:rsid w:val="3FCE0B50"/>
    <w:rsid w:val="41356125"/>
    <w:rsid w:val="418657CB"/>
    <w:rsid w:val="42022E95"/>
    <w:rsid w:val="42A16911"/>
    <w:rsid w:val="43AC0516"/>
    <w:rsid w:val="44204A82"/>
    <w:rsid w:val="44D2693A"/>
    <w:rsid w:val="4506027C"/>
    <w:rsid w:val="451B673D"/>
    <w:rsid w:val="454C20ED"/>
    <w:rsid w:val="45B65CB5"/>
    <w:rsid w:val="46245D86"/>
    <w:rsid w:val="46B13012"/>
    <w:rsid w:val="47683C60"/>
    <w:rsid w:val="492A41A0"/>
    <w:rsid w:val="49BB5BEF"/>
    <w:rsid w:val="4B3115EC"/>
    <w:rsid w:val="4BB46D99"/>
    <w:rsid w:val="4D760922"/>
    <w:rsid w:val="4E5E04A0"/>
    <w:rsid w:val="4EB1136E"/>
    <w:rsid w:val="525E7A5F"/>
    <w:rsid w:val="5571146A"/>
    <w:rsid w:val="56EF622F"/>
    <w:rsid w:val="579161E1"/>
    <w:rsid w:val="5BC052E6"/>
    <w:rsid w:val="5C2C7B3B"/>
    <w:rsid w:val="5C6313A8"/>
    <w:rsid w:val="5EA547D2"/>
    <w:rsid w:val="5F532672"/>
    <w:rsid w:val="5FF05A6E"/>
    <w:rsid w:val="60DF28B7"/>
    <w:rsid w:val="6106379C"/>
    <w:rsid w:val="61250B85"/>
    <w:rsid w:val="62514EEA"/>
    <w:rsid w:val="63387E58"/>
    <w:rsid w:val="649E3CEB"/>
    <w:rsid w:val="66131848"/>
    <w:rsid w:val="66791A03"/>
    <w:rsid w:val="66D03393"/>
    <w:rsid w:val="679B2764"/>
    <w:rsid w:val="69F95CD5"/>
    <w:rsid w:val="6A3B4FCC"/>
    <w:rsid w:val="6B5477F9"/>
    <w:rsid w:val="6B6B0BB8"/>
    <w:rsid w:val="6C325DE4"/>
    <w:rsid w:val="6D4400E5"/>
    <w:rsid w:val="705866D1"/>
    <w:rsid w:val="70D72B00"/>
    <w:rsid w:val="7306064B"/>
    <w:rsid w:val="73CB63C9"/>
    <w:rsid w:val="74813FCA"/>
    <w:rsid w:val="752124FA"/>
    <w:rsid w:val="79242628"/>
    <w:rsid w:val="7A5D6D55"/>
    <w:rsid w:val="7A63258C"/>
    <w:rsid w:val="7CEE5FD5"/>
    <w:rsid w:val="7D637B7D"/>
    <w:rsid w:val="7EED5B43"/>
    <w:rsid w:val="7FE7118F"/>
    <w:rsid w:val="7FFFE6A3"/>
    <w:rsid w:val="DDA43B1E"/>
    <w:rsid w:val="EF7646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uiPriority w:val="0"/>
    <w:pPr>
      <w:adjustRightInd w:val="0"/>
      <w:snapToGrid w:val="0"/>
      <w:spacing w:line="360" w:lineRule="auto"/>
      <w:ind w:left="0" w:right="0" w:firstLine="0"/>
      <w:outlineLvl w:val="0"/>
    </w:pPr>
    <w:rPr>
      <w:rFonts w:ascii="宋体" w:hAnsi="宋体" w:eastAsia="黑体" w:cs="宋体"/>
      <w:b/>
      <w:bCs/>
      <w:sz w:val="30"/>
      <w:szCs w:val="66"/>
      <w:lang w:eastAsia="en-US"/>
    </w:rPr>
  </w:style>
  <w:style w:type="paragraph" w:styleId="3">
    <w:name w:val="heading 2"/>
    <w:basedOn w:val="1"/>
    <w:next w:val="1"/>
    <w:link w:val="11"/>
    <w:uiPriority w:val="0"/>
    <w:pPr>
      <w:adjustRightInd w:val="0"/>
      <w:snapToGrid w:val="0"/>
      <w:spacing w:line="360" w:lineRule="auto"/>
      <w:ind w:left="0" w:firstLine="0"/>
      <w:outlineLvl w:val="1"/>
    </w:pPr>
    <w:rPr>
      <w:rFonts w:ascii="宋体" w:hAnsi="宋体" w:eastAsia="黑体" w:cs="宋体"/>
      <w:b/>
      <w:bCs/>
      <w:sz w:val="28"/>
      <w:szCs w:val="45"/>
      <w:lang w:eastAsia="en-US"/>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character" w:default="1" w:styleId="10">
    <w:name w:val="Default Paragraph Font"/>
    <w:uiPriority w:val="0"/>
  </w:style>
  <w:style w:type="table" w:default="1" w:styleId="8">
    <w:name w:val="Normal Table"/>
    <w:semiHidden/>
    <w:uiPriority w:val="0"/>
    <w:tblPr>
      <w:tblCellMar>
        <w:top w:w="0" w:type="dxa"/>
        <w:left w:w="108" w:type="dxa"/>
        <w:bottom w:w="0" w:type="dxa"/>
        <w:right w:w="108" w:type="dxa"/>
      </w:tblCellMar>
    </w:tblPr>
  </w:style>
  <w:style w:type="paragraph" w:styleId="5">
    <w:name w:val="Normal Indent"/>
    <w:basedOn w:val="1"/>
    <w:next w:val="1"/>
    <w:qFormat/>
    <w:uiPriority w:val="0"/>
    <w:pPr>
      <w:ind w:firstLine="200" w:firstLineChars="200"/>
    </w:pPr>
    <w:rPr>
      <w:rFonts w:ascii="Times New Roman" w:hAnsi="Times New Roman" w:eastAsia="宋体" w:cs="Times New Roman"/>
      <w:lang w:bidi="ar-SA"/>
    </w:rPr>
  </w:style>
  <w:style w:type="paragraph" w:styleId="6">
    <w:name w:val="footer"/>
    <w:basedOn w:val="1"/>
    <w:uiPriority w:val="0"/>
    <w:pPr>
      <w:tabs>
        <w:tab w:val="center" w:pos="4153"/>
        <w:tab w:val="right" w:pos="8306"/>
      </w:tabs>
      <w:snapToGrid w:val="0"/>
      <w:jc w:val="left"/>
    </w:pPr>
    <w:rPr>
      <w:rFonts w:eastAsia="仿宋_GB2312"/>
      <w:sz w:val="2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标题 2 Char"/>
    <w:link w:val="3"/>
    <w:qFormat/>
    <w:uiPriority w:val="1"/>
    <w:rPr>
      <w:rFonts w:ascii="宋体" w:hAnsi="宋体" w:eastAsia="黑体" w:cs="宋体"/>
      <w:b/>
      <w:bCs/>
      <w:sz w:val="28"/>
      <w:szCs w:val="45"/>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0</Pages>
  <Words>0</Words>
  <Characters>0</Characters>
  <Lines>0</Lines>
  <Paragraphs>0</Paragraphs>
  <TotalTime>157258081</TotalTime>
  <ScaleCrop>false</ScaleCrop>
  <LinksUpToDate>false</LinksUpToDate>
  <CharactersWithSpaces>0</CharactersWithSpaces>
  <Application>WPS Office_11.8.2.1122_F1E327BC-269C-435d-A152-05C5408002CA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2024-11-09T17:47:00Z</dcterms:created>
  <dc:creator>liuuz</dc:creator>
  <cp:lastModifiedBy>吴玥</cp:lastModifiedBy>
  <cp:lastPrinted>2023-06-22T00:51:00Z</cp:lastPrinted>
  <dcterms:modified xsi:type="dcterms:W3CDTF">2024-11-11T09:18:18Z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ICV">
    <vt:lpwstr>D411EC6A3B1125075A5B3167E48DAD2D</vt:lpwstr>
  </property>
</Properties>
</file>